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4AA" w:rsidRPr="00054390" w:rsidRDefault="00CF14AA" w:rsidP="00CF14A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054390">
        <w:rPr>
          <w:rFonts w:ascii="Calibri" w:eastAsia="Times New Roman" w:hAnsi="Calibri" w:cs="Times New Roman"/>
          <w:b/>
          <w:sz w:val="28"/>
          <w:szCs w:val="28"/>
        </w:rPr>
        <w:t>Current References</w:t>
      </w:r>
    </w:p>
    <w:p w:rsidR="00FB1BD2" w:rsidRDefault="00FB1BD2" w:rsidP="00CF14AA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szCs w:val="16"/>
        </w:rPr>
      </w:pPr>
    </w:p>
    <w:p w:rsidR="00054390" w:rsidRPr="00054390" w:rsidRDefault="00054390" w:rsidP="00054390">
      <w:pPr>
        <w:spacing w:after="0" w:line="240" w:lineRule="auto"/>
        <w:rPr>
          <w:rFonts w:cs="Courier New"/>
          <w:i/>
          <w:sz w:val="20"/>
          <w:szCs w:val="20"/>
        </w:rPr>
      </w:pPr>
      <w:r w:rsidRPr="00054390">
        <w:rPr>
          <w:rFonts w:cs="Courier New"/>
          <w:i/>
          <w:sz w:val="20"/>
          <w:szCs w:val="20"/>
        </w:rPr>
        <w:t>THE FOLLOWING LIST O</w:t>
      </w:r>
      <w:r w:rsidRPr="00054390">
        <w:rPr>
          <w:rFonts w:cs="Courier New"/>
          <w:i/>
          <w:sz w:val="20"/>
          <w:szCs w:val="20"/>
        </w:rPr>
        <w:t xml:space="preserve">F PUBLICATIONS AND DIRECTIVES </w:t>
      </w:r>
      <w:r w:rsidRPr="00054390">
        <w:rPr>
          <w:rFonts w:cs="Courier New"/>
          <w:i/>
          <w:sz w:val="20"/>
          <w:szCs w:val="20"/>
        </w:rPr>
        <w:t>ARE DESIGNED TO PROVIDE THE MAINTENANCE CHIEF WITH</w:t>
      </w:r>
      <w:r w:rsidRPr="00054390">
        <w:rPr>
          <w:rFonts w:cs="Courier New"/>
          <w:i/>
          <w:sz w:val="20"/>
          <w:szCs w:val="20"/>
        </w:rPr>
        <w:t xml:space="preserve"> </w:t>
      </w:r>
      <w:r w:rsidRPr="00054390">
        <w:rPr>
          <w:rFonts w:cs="Courier New"/>
          <w:i/>
          <w:sz w:val="20"/>
          <w:szCs w:val="20"/>
        </w:rPr>
        <w:t>A READY GUIDE TO REFERENCE</w:t>
      </w:r>
      <w:r w:rsidRPr="00054390">
        <w:rPr>
          <w:rFonts w:cs="Courier New"/>
          <w:i/>
          <w:sz w:val="20"/>
          <w:szCs w:val="20"/>
        </w:rPr>
        <w:t xml:space="preserve"> </w:t>
      </w:r>
      <w:r w:rsidRPr="00054390">
        <w:rPr>
          <w:rFonts w:cs="Courier New"/>
          <w:i/>
          <w:sz w:val="20"/>
          <w:szCs w:val="20"/>
        </w:rPr>
        <w:t xml:space="preserve">MATERIAL BY SUBJECT.  IT IS IMPORTANT TO UNDERSTAND THAT ALTHOUGH BASIC PUBLICATIONS AND DIRECTIVES OUTLINE VARIOUS </w:t>
      </w:r>
      <w:r w:rsidRPr="00054390">
        <w:rPr>
          <w:rFonts w:cs="Courier New"/>
          <w:i/>
          <w:sz w:val="20"/>
          <w:szCs w:val="20"/>
        </w:rPr>
        <w:t xml:space="preserve">PROCEDURES, THE </w:t>
      </w:r>
      <w:r w:rsidRPr="00054390">
        <w:rPr>
          <w:rFonts w:cs="Courier New"/>
          <w:i/>
          <w:sz w:val="20"/>
          <w:szCs w:val="20"/>
        </w:rPr>
        <w:t>MAINTENANCE</w:t>
      </w:r>
      <w:r w:rsidRPr="00054390">
        <w:rPr>
          <w:rFonts w:cs="Courier New"/>
          <w:i/>
          <w:sz w:val="20"/>
          <w:szCs w:val="20"/>
        </w:rPr>
        <w:t xml:space="preserve"> CHIEF MUST ALSO BE</w:t>
      </w:r>
      <w:r w:rsidRPr="00054390">
        <w:rPr>
          <w:rFonts w:cs="Courier New"/>
          <w:i/>
          <w:sz w:val="20"/>
          <w:szCs w:val="20"/>
        </w:rPr>
        <w:t xml:space="preserve"> WELL VERSED I</w:t>
      </w:r>
      <w:r w:rsidRPr="00054390">
        <w:rPr>
          <w:rFonts w:cs="Courier New"/>
          <w:i/>
          <w:sz w:val="20"/>
          <w:szCs w:val="20"/>
        </w:rPr>
        <w:t xml:space="preserve">N LOCAL POLICIES AS THESE MAY </w:t>
      </w:r>
      <w:r w:rsidRPr="00054390">
        <w:rPr>
          <w:rFonts w:cs="Courier New"/>
          <w:i/>
          <w:sz w:val="20"/>
          <w:szCs w:val="20"/>
        </w:rPr>
        <w:t>DELINEATE CERTAI</w:t>
      </w:r>
      <w:r w:rsidRPr="00054390">
        <w:rPr>
          <w:rFonts w:cs="Courier New"/>
          <w:i/>
          <w:sz w:val="20"/>
          <w:szCs w:val="20"/>
        </w:rPr>
        <w:t xml:space="preserve">N, MORE SPECIFIC REQUIREMENTS.  </w:t>
      </w:r>
      <w:r w:rsidRPr="00054390">
        <w:rPr>
          <w:rFonts w:cs="Courier New"/>
          <w:i/>
          <w:sz w:val="20"/>
          <w:szCs w:val="20"/>
        </w:rPr>
        <w:t>ALTHOUGH, NOT ALL INCLUSIVE, THIS LIST SHOULD PROVIDE A BETTER UN</w:t>
      </w:r>
      <w:r w:rsidRPr="00054390">
        <w:rPr>
          <w:rFonts w:cs="Courier New"/>
          <w:i/>
          <w:sz w:val="20"/>
          <w:szCs w:val="20"/>
        </w:rPr>
        <w:t>DERSTANDING OF THE OPERATION OF</w:t>
      </w:r>
      <w:r w:rsidRPr="00054390">
        <w:rPr>
          <w:rFonts w:cs="Courier New"/>
          <w:i/>
          <w:sz w:val="20"/>
          <w:szCs w:val="20"/>
        </w:rPr>
        <w:t xml:space="preserve"> A MAINTENANCE SHOP.</w:t>
      </w:r>
    </w:p>
    <w:p w:rsidR="00CF14AA" w:rsidRPr="00054390" w:rsidRDefault="00CF14AA" w:rsidP="002A3375">
      <w:pPr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</w:p>
    <w:p w:rsidR="002A3375" w:rsidRPr="00054390" w:rsidRDefault="002A3375" w:rsidP="002A3375">
      <w:pPr>
        <w:spacing w:after="0" w:line="240" w:lineRule="auto"/>
        <w:rPr>
          <w:rFonts w:ascii="Calibri" w:eastAsia="Times New Roman" w:hAnsi="Calibri" w:cs="Times New Roman"/>
          <w:b/>
          <w:sz w:val="16"/>
          <w:szCs w:val="16"/>
        </w:rPr>
        <w:sectPr w:rsidR="002A3375" w:rsidRPr="0005439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CF14AA" w:rsidRPr="00054390" w:rsidRDefault="00CF14AA" w:rsidP="00CF14AA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054390">
        <w:rPr>
          <w:rFonts w:eastAsia="Times New Roman" w:cs="Times New Roman"/>
          <w:b/>
          <w:sz w:val="20"/>
          <w:szCs w:val="20"/>
        </w:rPr>
        <w:lastRenderedPageBreak/>
        <w:t>MCO 4790.2</w:t>
      </w:r>
    </w:p>
    <w:p w:rsidR="00CF14AA" w:rsidRPr="00054390" w:rsidRDefault="00CF14AA" w:rsidP="00CF14AA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p w:rsidR="00D00A2D" w:rsidRDefault="00D00A2D" w:rsidP="00CF14AA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p w:rsidR="00E32577" w:rsidRDefault="00E32577" w:rsidP="00CF14AA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p w:rsidR="00B865DB" w:rsidRPr="00054390" w:rsidRDefault="00B865DB" w:rsidP="00CF14AA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p w:rsidR="00CF14AA" w:rsidRPr="00054390" w:rsidRDefault="002A3375" w:rsidP="00CF14AA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proofErr w:type="spellStart"/>
      <w:r w:rsidRPr="00054390">
        <w:rPr>
          <w:rFonts w:eastAsia="Times New Roman" w:cs="Times New Roman"/>
          <w:b/>
          <w:sz w:val="20"/>
          <w:szCs w:val="20"/>
        </w:rPr>
        <w:t>ForO</w:t>
      </w:r>
      <w:proofErr w:type="spellEnd"/>
      <w:r w:rsidRPr="00054390">
        <w:rPr>
          <w:rFonts w:eastAsia="Times New Roman" w:cs="Times New Roman"/>
          <w:b/>
          <w:sz w:val="20"/>
          <w:szCs w:val="20"/>
        </w:rPr>
        <w:t xml:space="preserve"> 4790.3B</w:t>
      </w:r>
    </w:p>
    <w:p w:rsidR="00CF14AA" w:rsidRPr="00054390" w:rsidRDefault="00CF14AA" w:rsidP="00CF14AA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p w:rsidR="00CF14AA" w:rsidRPr="00054390" w:rsidRDefault="00CF14AA" w:rsidP="00CF14AA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p w:rsidR="00CF14AA" w:rsidRDefault="00CF14AA" w:rsidP="00CF14AA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p w:rsidR="00646853" w:rsidRPr="00054390" w:rsidRDefault="00646853" w:rsidP="00CF14AA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p w:rsidR="00317831" w:rsidRPr="00054390" w:rsidRDefault="00317831" w:rsidP="00317831">
      <w:pPr>
        <w:spacing w:after="0"/>
        <w:rPr>
          <w:b/>
          <w:sz w:val="20"/>
          <w:szCs w:val="20"/>
        </w:rPr>
      </w:pPr>
      <w:r w:rsidRPr="00054390">
        <w:rPr>
          <w:b/>
          <w:sz w:val="20"/>
          <w:szCs w:val="20"/>
        </w:rPr>
        <w:t>MCO 4400.150</w:t>
      </w:r>
    </w:p>
    <w:p w:rsidR="00CF14AA" w:rsidRPr="00054390" w:rsidRDefault="00CF14AA" w:rsidP="00317831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p w:rsidR="00CF14AA" w:rsidRPr="00054390" w:rsidRDefault="00CF14AA" w:rsidP="00317831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p w:rsidR="00317831" w:rsidRPr="00054390" w:rsidRDefault="00317831" w:rsidP="00317831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p w:rsidR="00CF14AA" w:rsidRPr="00054390" w:rsidRDefault="00D70972" w:rsidP="00317831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054390">
        <w:rPr>
          <w:rFonts w:eastAsia="Times New Roman" w:cs="Times New Roman"/>
          <w:b/>
          <w:sz w:val="20"/>
          <w:szCs w:val="20"/>
        </w:rPr>
        <w:t>UM 4400-125</w:t>
      </w:r>
    </w:p>
    <w:p w:rsidR="00CF14AA" w:rsidRPr="00054390" w:rsidRDefault="00CF14AA" w:rsidP="00CF14AA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p w:rsidR="002A3375" w:rsidRPr="00054390" w:rsidRDefault="002A3375" w:rsidP="00CF14AA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p w:rsidR="002A3375" w:rsidRDefault="002A3375" w:rsidP="00CF14AA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p w:rsidR="00646853" w:rsidRPr="00054390" w:rsidRDefault="00646853" w:rsidP="00CF14AA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p w:rsidR="002A3375" w:rsidRPr="00054390" w:rsidRDefault="00425448" w:rsidP="00CF14AA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054390">
        <w:rPr>
          <w:rFonts w:eastAsia="Times New Roman" w:cs="Times New Roman"/>
          <w:b/>
          <w:sz w:val="20"/>
          <w:szCs w:val="20"/>
        </w:rPr>
        <w:t>MMPN</w:t>
      </w:r>
    </w:p>
    <w:p w:rsidR="002A3375" w:rsidRPr="00054390" w:rsidRDefault="002A3375" w:rsidP="00CF14AA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p w:rsidR="002A3375" w:rsidRPr="00054390" w:rsidRDefault="002A3375" w:rsidP="00CF14AA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p w:rsidR="00317831" w:rsidRDefault="00317831" w:rsidP="00CF14AA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p w:rsidR="00054390" w:rsidRDefault="00054390" w:rsidP="00CF14AA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p w:rsidR="00054390" w:rsidRPr="00E32577" w:rsidRDefault="00E32577" w:rsidP="00CF14AA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E32577">
        <w:rPr>
          <w:b/>
          <w:sz w:val="20"/>
          <w:szCs w:val="20"/>
        </w:rPr>
        <w:t>TM 4700-15/1H</w:t>
      </w:r>
    </w:p>
    <w:p w:rsidR="00054390" w:rsidRDefault="00054390" w:rsidP="00CF14AA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p w:rsidR="00054390" w:rsidRPr="00054390" w:rsidRDefault="00054390" w:rsidP="00CF14AA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p w:rsidR="00317831" w:rsidRPr="00054390" w:rsidRDefault="00317831" w:rsidP="00CF14AA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p w:rsidR="00317831" w:rsidRDefault="00317831" w:rsidP="00CF14AA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p w:rsidR="00B865DB" w:rsidRPr="00054390" w:rsidRDefault="00B865DB" w:rsidP="00CF14AA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p w:rsidR="00317831" w:rsidRPr="009C26E7" w:rsidRDefault="009C26E7" w:rsidP="00CF14AA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9C26E7">
        <w:rPr>
          <w:b/>
          <w:sz w:val="20"/>
          <w:szCs w:val="20"/>
        </w:rPr>
        <w:t>MCO 4733.1C</w:t>
      </w:r>
    </w:p>
    <w:p w:rsidR="002A3375" w:rsidRPr="00054390" w:rsidRDefault="002A3375" w:rsidP="00CF14AA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p w:rsidR="00CF14AA" w:rsidRPr="00054390" w:rsidRDefault="00CF14AA" w:rsidP="00CF14AA">
      <w:pPr>
        <w:spacing w:after="0" w:line="240" w:lineRule="auto"/>
        <w:rPr>
          <w:rFonts w:eastAsia="Times New Roman" w:cs="Courier"/>
          <w:sz w:val="20"/>
          <w:szCs w:val="20"/>
        </w:rPr>
      </w:pPr>
    </w:p>
    <w:p w:rsidR="002A3375" w:rsidRPr="009C26E7" w:rsidRDefault="009C26E7" w:rsidP="00CF14AA">
      <w:pPr>
        <w:spacing w:after="0" w:line="240" w:lineRule="auto"/>
        <w:rPr>
          <w:rFonts w:eastAsia="Times New Roman" w:cs="Courier"/>
          <w:sz w:val="20"/>
          <w:szCs w:val="20"/>
        </w:rPr>
      </w:pPr>
      <w:r w:rsidRPr="009C26E7">
        <w:rPr>
          <w:b/>
          <w:sz w:val="20"/>
          <w:szCs w:val="20"/>
        </w:rPr>
        <w:t>TI 4733-OD/1</w:t>
      </w:r>
    </w:p>
    <w:p w:rsidR="002A3375" w:rsidRPr="00054390" w:rsidRDefault="002A3375" w:rsidP="00CF14AA">
      <w:pPr>
        <w:spacing w:after="0" w:line="240" w:lineRule="auto"/>
        <w:rPr>
          <w:rFonts w:eastAsia="Times New Roman" w:cs="Courier"/>
          <w:sz w:val="20"/>
          <w:szCs w:val="20"/>
        </w:rPr>
      </w:pPr>
    </w:p>
    <w:p w:rsidR="00280D17" w:rsidRPr="00054390" w:rsidRDefault="00280D17" w:rsidP="00CF14AA">
      <w:pPr>
        <w:spacing w:after="0" w:line="240" w:lineRule="auto"/>
        <w:rPr>
          <w:rFonts w:eastAsia="Times New Roman" w:cs="Courier"/>
          <w:sz w:val="20"/>
          <w:szCs w:val="20"/>
        </w:rPr>
      </w:pPr>
    </w:p>
    <w:p w:rsidR="00D00A2D" w:rsidRPr="00054390" w:rsidRDefault="00D00A2D" w:rsidP="00CF14AA">
      <w:pPr>
        <w:spacing w:after="0" w:line="240" w:lineRule="auto"/>
        <w:rPr>
          <w:rFonts w:eastAsia="Times New Roman" w:cs="Courier"/>
          <w:sz w:val="20"/>
          <w:szCs w:val="20"/>
        </w:rPr>
      </w:pPr>
    </w:p>
    <w:p w:rsidR="00D00A2D" w:rsidRPr="00907A1F" w:rsidRDefault="00907A1F" w:rsidP="00CF14AA">
      <w:pPr>
        <w:spacing w:after="0" w:line="240" w:lineRule="auto"/>
        <w:rPr>
          <w:rFonts w:eastAsia="Times New Roman" w:cs="Courier"/>
          <w:sz w:val="20"/>
          <w:szCs w:val="20"/>
        </w:rPr>
      </w:pPr>
      <w:r w:rsidRPr="00907A1F">
        <w:rPr>
          <w:b/>
          <w:sz w:val="20"/>
          <w:szCs w:val="20"/>
        </w:rPr>
        <w:t>TI 4733-OD/10</w:t>
      </w:r>
    </w:p>
    <w:p w:rsidR="00D00A2D" w:rsidRPr="00054390" w:rsidRDefault="00D00A2D" w:rsidP="00CF14AA">
      <w:pPr>
        <w:spacing w:after="0" w:line="240" w:lineRule="auto"/>
        <w:rPr>
          <w:rFonts w:eastAsia="Times New Roman" w:cs="Courier"/>
          <w:sz w:val="20"/>
          <w:szCs w:val="20"/>
        </w:rPr>
      </w:pPr>
    </w:p>
    <w:p w:rsidR="00D00A2D" w:rsidRPr="00054390" w:rsidRDefault="00D00A2D" w:rsidP="00CF14AA">
      <w:pPr>
        <w:spacing w:after="0" w:line="240" w:lineRule="auto"/>
        <w:rPr>
          <w:rFonts w:eastAsia="Times New Roman" w:cs="Courier"/>
          <w:sz w:val="20"/>
          <w:szCs w:val="20"/>
        </w:rPr>
      </w:pPr>
    </w:p>
    <w:p w:rsidR="00D00A2D" w:rsidRPr="00907A1F" w:rsidRDefault="00907A1F" w:rsidP="00CF14AA">
      <w:pPr>
        <w:spacing w:after="0" w:line="240" w:lineRule="auto"/>
        <w:rPr>
          <w:rFonts w:eastAsia="Times New Roman" w:cs="Courier"/>
          <w:sz w:val="20"/>
          <w:szCs w:val="20"/>
        </w:rPr>
      </w:pPr>
      <w:r w:rsidRPr="00907A1F">
        <w:rPr>
          <w:rFonts w:eastAsia="Times New Roman" w:cs="Courier"/>
          <w:b/>
          <w:sz w:val="20"/>
          <w:szCs w:val="20"/>
        </w:rPr>
        <w:t>TM 10510-OD/1Q</w:t>
      </w:r>
    </w:p>
    <w:p w:rsidR="00054390" w:rsidRDefault="00054390" w:rsidP="00CF14AA">
      <w:pPr>
        <w:spacing w:after="0" w:line="240" w:lineRule="auto"/>
        <w:rPr>
          <w:rFonts w:eastAsia="Times New Roman" w:cs="Courier"/>
          <w:sz w:val="20"/>
          <w:szCs w:val="20"/>
        </w:rPr>
      </w:pPr>
    </w:p>
    <w:p w:rsidR="00054390" w:rsidRDefault="00054390" w:rsidP="00CF14AA">
      <w:pPr>
        <w:spacing w:after="0" w:line="240" w:lineRule="auto"/>
        <w:rPr>
          <w:rFonts w:eastAsia="Times New Roman" w:cs="Courier"/>
          <w:sz w:val="20"/>
          <w:szCs w:val="20"/>
        </w:rPr>
      </w:pPr>
    </w:p>
    <w:p w:rsidR="00CF14AA" w:rsidRPr="00054390" w:rsidRDefault="002A3375" w:rsidP="00CF14AA">
      <w:pPr>
        <w:spacing w:after="0" w:line="240" w:lineRule="auto"/>
        <w:rPr>
          <w:rFonts w:eastAsia="Times New Roman" w:cs="Times New Roman"/>
          <w:i/>
          <w:sz w:val="20"/>
          <w:szCs w:val="20"/>
        </w:rPr>
      </w:pPr>
      <w:r w:rsidRPr="00054390">
        <w:rPr>
          <w:rFonts w:eastAsia="Times New Roman" w:cs="Times New Roman"/>
          <w:sz w:val="20"/>
          <w:szCs w:val="20"/>
        </w:rPr>
        <w:lastRenderedPageBreak/>
        <w:t>Field Level Maintenance Management Policy (FLMMP) outlines basic maintenance management procedures</w:t>
      </w:r>
      <w:r w:rsidR="00054390">
        <w:rPr>
          <w:rFonts w:eastAsia="Times New Roman" w:cs="Times New Roman"/>
          <w:sz w:val="20"/>
          <w:szCs w:val="20"/>
        </w:rPr>
        <w:t xml:space="preserve">.  </w:t>
      </w:r>
      <w:r w:rsidR="00054390" w:rsidRPr="00054390">
        <w:rPr>
          <w:rFonts w:eastAsia="Times New Roman" w:cs="Times New Roman"/>
          <w:i/>
          <w:sz w:val="20"/>
          <w:szCs w:val="20"/>
        </w:rPr>
        <w:t>(</w:t>
      </w:r>
      <w:r w:rsidR="00E32577">
        <w:rPr>
          <w:rFonts w:eastAsia="Times New Roman" w:cs="Times New Roman"/>
          <w:i/>
          <w:sz w:val="20"/>
          <w:szCs w:val="20"/>
        </w:rPr>
        <w:t xml:space="preserve">Calibrations, </w:t>
      </w:r>
      <w:r w:rsidR="00054390" w:rsidRPr="00054390">
        <w:rPr>
          <w:rFonts w:eastAsia="Times New Roman" w:cs="Times New Roman"/>
          <w:i/>
          <w:sz w:val="20"/>
          <w:szCs w:val="20"/>
        </w:rPr>
        <w:t>Layettes,</w:t>
      </w:r>
      <w:r w:rsidR="003D230F">
        <w:rPr>
          <w:rFonts w:eastAsia="Times New Roman" w:cs="Times New Roman"/>
          <w:i/>
          <w:sz w:val="20"/>
          <w:szCs w:val="20"/>
        </w:rPr>
        <w:t xml:space="preserve"> Modifications</w:t>
      </w:r>
      <w:r w:rsidR="00646853">
        <w:rPr>
          <w:rFonts w:eastAsia="Times New Roman" w:cs="Times New Roman"/>
          <w:i/>
          <w:sz w:val="20"/>
          <w:szCs w:val="20"/>
        </w:rPr>
        <w:t xml:space="preserve">, OVE, </w:t>
      </w:r>
      <w:r w:rsidR="005D0762">
        <w:rPr>
          <w:rFonts w:eastAsia="Times New Roman" w:cs="Times New Roman"/>
          <w:i/>
          <w:sz w:val="20"/>
          <w:szCs w:val="20"/>
        </w:rPr>
        <w:t xml:space="preserve">Publications, </w:t>
      </w:r>
      <w:r w:rsidR="007774F8">
        <w:rPr>
          <w:rFonts w:eastAsia="Times New Roman" w:cs="Times New Roman"/>
          <w:i/>
          <w:sz w:val="20"/>
          <w:szCs w:val="20"/>
        </w:rPr>
        <w:t xml:space="preserve">QC, </w:t>
      </w:r>
      <w:r w:rsidR="0073056E">
        <w:rPr>
          <w:rFonts w:eastAsia="Times New Roman" w:cs="Times New Roman"/>
          <w:i/>
          <w:sz w:val="20"/>
          <w:szCs w:val="20"/>
        </w:rPr>
        <w:t xml:space="preserve">Tool Room, </w:t>
      </w:r>
      <w:r w:rsidR="00B865DB">
        <w:rPr>
          <w:rFonts w:eastAsia="Times New Roman" w:cs="Times New Roman"/>
          <w:i/>
          <w:sz w:val="20"/>
          <w:szCs w:val="20"/>
        </w:rPr>
        <w:t>Training,)</w:t>
      </w:r>
    </w:p>
    <w:p w:rsidR="00054390" w:rsidRPr="00054390" w:rsidRDefault="00054390" w:rsidP="00CF14AA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D00A2D" w:rsidRPr="00054390" w:rsidRDefault="00CF14AA" w:rsidP="00CF14AA">
      <w:pPr>
        <w:spacing w:after="0" w:line="240" w:lineRule="auto"/>
        <w:rPr>
          <w:rFonts w:eastAsia="Times New Roman" w:cs="Times New Roman"/>
          <w:i/>
          <w:sz w:val="20"/>
          <w:szCs w:val="20"/>
        </w:rPr>
      </w:pPr>
      <w:r w:rsidRPr="00054390">
        <w:rPr>
          <w:rFonts w:eastAsia="Times New Roman" w:cs="Times New Roman"/>
          <w:sz w:val="20"/>
          <w:szCs w:val="20"/>
        </w:rPr>
        <w:t>A focused version of MCO 4790.2</w:t>
      </w:r>
      <w:r w:rsidR="002A3375" w:rsidRPr="00054390">
        <w:rPr>
          <w:rFonts w:eastAsia="Times New Roman" w:cs="Times New Roman"/>
          <w:sz w:val="20"/>
          <w:szCs w:val="20"/>
        </w:rPr>
        <w:t xml:space="preserve"> used to establish s</w:t>
      </w:r>
      <w:r w:rsidRPr="00054390">
        <w:rPr>
          <w:rFonts w:eastAsia="Times New Roman" w:cs="Times New Roman"/>
          <w:sz w:val="20"/>
          <w:szCs w:val="20"/>
        </w:rPr>
        <w:t xml:space="preserve">tandard </w:t>
      </w:r>
      <w:r w:rsidR="002A3375" w:rsidRPr="00054390">
        <w:rPr>
          <w:rFonts w:eastAsia="Times New Roman" w:cs="Times New Roman"/>
          <w:sz w:val="20"/>
          <w:szCs w:val="20"/>
        </w:rPr>
        <w:t>o</w:t>
      </w:r>
      <w:r w:rsidRPr="00054390">
        <w:rPr>
          <w:rFonts w:eastAsia="Times New Roman" w:cs="Times New Roman"/>
          <w:sz w:val="20"/>
          <w:szCs w:val="20"/>
        </w:rPr>
        <w:t xml:space="preserve">perating </w:t>
      </w:r>
      <w:r w:rsidR="002A3375" w:rsidRPr="00054390">
        <w:rPr>
          <w:rFonts w:eastAsia="Times New Roman" w:cs="Times New Roman"/>
          <w:sz w:val="20"/>
          <w:szCs w:val="20"/>
        </w:rPr>
        <w:t>p</w:t>
      </w:r>
      <w:r w:rsidRPr="00054390">
        <w:rPr>
          <w:rFonts w:eastAsia="Times New Roman" w:cs="Times New Roman"/>
          <w:sz w:val="20"/>
          <w:szCs w:val="20"/>
        </w:rPr>
        <w:t xml:space="preserve">rocedures for </w:t>
      </w:r>
      <w:r w:rsidR="002A3375" w:rsidRPr="00054390">
        <w:rPr>
          <w:rFonts w:eastAsia="Times New Roman" w:cs="Times New Roman"/>
          <w:sz w:val="20"/>
          <w:szCs w:val="20"/>
        </w:rPr>
        <w:t>maintenance management by Marine Forces Reserve (MARFORRES)</w:t>
      </w:r>
      <w:r w:rsidRPr="00054390">
        <w:rPr>
          <w:rFonts w:eastAsia="Times New Roman" w:cs="Times New Roman"/>
          <w:sz w:val="20"/>
          <w:szCs w:val="20"/>
        </w:rPr>
        <w:t xml:space="preserve">. </w:t>
      </w:r>
      <w:r w:rsidRPr="00054390">
        <w:rPr>
          <w:rFonts w:eastAsia="Times New Roman" w:cs="Times New Roman"/>
          <w:i/>
          <w:sz w:val="20"/>
          <w:szCs w:val="20"/>
        </w:rPr>
        <w:t>(</w:t>
      </w:r>
      <w:r w:rsidR="00E32577">
        <w:rPr>
          <w:rFonts w:eastAsia="Times New Roman" w:cs="Times New Roman"/>
          <w:i/>
          <w:sz w:val="20"/>
          <w:szCs w:val="20"/>
        </w:rPr>
        <w:t xml:space="preserve">Calibrations, </w:t>
      </w:r>
      <w:r w:rsidR="00054390">
        <w:rPr>
          <w:rFonts w:eastAsia="Times New Roman" w:cs="Times New Roman"/>
          <w:i/>
          <w:sz w:val="20"/>
          <w:szCs w:val="20"/>
        </w:rPr>
        <w:t>Layettes,</w:t>
      </w:r>
      <w:r w:rsidR="003D230F">
        <w:rPr>
          <w:rFonts w:eastAsia="Times New Roman" w:cs="Times New Roman"/>
          <w:i/>
          <w:sz w:val="20"/>
          <w:szCs w:val="20"/>
        </w:rPr>
        <w:t xml:space="preserve"> Modifications</w:t>
      </w:r>
      <w:r w:rsidR="00646853">
        <w:rPr>
          <w:rFonts w:eastAsia="Times New Roman" w:cs="Times New Roman"/>
          <w:i/>
          <w:sz w:val="20"/>
          <w:szCs w:val="20"/>
        </w:rPr>
        <w:t>, OVE</w:t>
      </w:r>
      <w:r w:rsidR="005D0762">
        <w:rPr>
          <w:rFonts w:eastAsia="Times New Roman" w:cs="Times New Roman"/>
          <w:i/>
          <w:sz w:val="20"/>
          <w:szCs w:val="20"/>
        </w:rPr>
        <w:t xml:space="preserve">, Publications, </w:t>
      </w:r>
      <w:r w:rsidR="007774F8">
        <w:rPr>
          <w:rFonts w:eastAsia="Times New Roman" w:cs="Times New Roman"/>
          <w:i/>
          <w:sz w:val="20"/>
          <w:szCs w:val="20"/>
        </w:rPr>
        <w:t xml:space="preserve">QC, </w:t>
      </w:r>
      <w:r w:rsidR="0073056E">
        <w:rPr>
          <w:rFonts w:eastAsia="Times New Roman" w:cs="Times New Roman"/>
          <w:i/>
          <w:sz w:val="20"/>
          <w:szCs w:val="20"/>
        </w:rPr>
        <w:t xml:space="preserve">Tool Toom, </w:t>
      </w:r>
      <w:r w:rsidR="00B865DB">
        <w:rPr>
          <w:rFonts w:eastAsia="Times New Roman" w:cs="Times New Roman"/>
          <w:i/>
          <w:sz w:val="20"/>
          <w:szCs w:val="20"/>
        </w:rPr>
        <w:t>Training)</w:t>
      </w:r>
    </w:p>
    <w:p w:rsidR="00CF14AA" w:rsidRPr="00054390" w:rsidRDefault="00CF14AA" w:rsidP="00CF14AA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2A3375" w:rsidRPr="00054390" w:rsidRDefault="008A7C38" w:rsidP="00317831">
      <w:pPr>
        <w:rPr>
          <w:sz w:val="20"/>
          <w:szCs w:val="20"/>
        </w:rPr>
      </w:pPr>
      <w:r w:rsidRPr="00054390">
        <w:rPr>
          <w:sz w:val="20"/>
          <w:szCs w:val="20"/>
        </w:rPr>
        <w:t>The c</w:t>
      </w:r>
      <w:r w:rsidR="00317831" w:rsidRPr="00054390">
        <w:rPr>
          <w:sz w:val="20"/>
          <w:szCs w:val="20"/>
        </w:rPr>
        <w:t xml:space="preserve">onsumer-level supply policy that outlines basic maintenance management procedures in relation to Demand Supported Items (DSI) control procedures.  </w:t>
      </w:r>
      <w:r w:rsidR="00317831" w:rsidRPr="00054390">
        <w:rPr>
          <w:i/>
          <w:sz w:val="20"/>
          <w:szCs w:val="20"/>
        </w:rPr>
        <w:t>(</w:t>
      </w:r>
      <w:r w:rsidR="00054390">
        <w:rPr>
          <w:i/>
          <w:sz w:val="20"/>
          <w:szCs w:val="20"/>
        </w:rPr>
        <w:t xml:space="preserve">Layettes, </w:t>
      </w:r>
      <w:r w:rsidR="00646853">
        <w:rPr>
          <w:i/>
          <w:sz w:val="20"/>
          <w:szCs w:val="20"/>
        </w:rPr>
        <w:t xml:space="preserve">OVE, </w:t>
      </w:r>
      <w:r w:rsidR="00B865DB">
        <w:rPr>
          <w:i/>
          <w:sz w:val="20"/>
          <w:szCs w:val="20"/>
        </w:rPr>
        <w:t>Tool Room)</w:t>
      </w:r>
      <w:r w:rsidR="0073056E">
        <w:rPr>
          <w:i/>
          <w:sz w:val="20"/>
          <w:szCs w:val="20"/>
        </w:rPr>
        <w:t xml:space="preserve"> </w:t>
      </w:r>
    </w:p>
    <w:p w:rsidR="00D70972" w:rsidRPr="00054390" w:rsidRDefault="00D70972" w:rsidP="00280D17">
      <w:pPr>
        <w:pStyle w:val="Default"/>
        <w:rPr>
          <w:rFonts w:asciiTheme="minorHAnsi" w:hAnsiTheme="minorHAnsi"/>
          <w:sz w:val="20"/>
          <w:szCs w:val="20"/>
        </w:rPr>
      </w:pPr>
      <w:r w:rsidRPr="00054390">
        <w:rPr>
          <w:rFonts w:asciiTheme="minorHAnsi" w:hAnsiTheme="minorHAnsi" w:cs="Courier New"/>
          <w:sz w:val="20"/>
          <w:szCs w:val="20"/>
        </w:rPr>
        <w:t>Retail Supply and Maintenance Execution Procedures</w:t>
      </w:r>
      <w:r w:rsidRPr="00054390">
        <w:rPr>
          <w:rFonts w:asciiTheme="minorHAnsi" w:hAnsiTheme="minorHAnsi"/>
          <w:sz w:val="20"/>
          <w:szCs w:val="20"/>
        </w:rPr>
        <w:t>, or the GCSS-MC User’s Manual for short. Any information you need to open/close service requests.</w:t>
      </w:r>
      <w:r w:rsidR="00D00A2D" w:rsidRPr="00054390">
        <w:rPr>
          <w:rFonts w:asciiTheme="minorHAnsi" w:hAnsiTheme="minorHAnsi"/>
          <w:sz w:val="20"/>
          <w:szCs w:val="20"/>
        </w:rPr>
        <w:t xml:space="preserve"> </w:t>
      </w:r>
      <w:r w:rsidR="00054390">
        <w:rPr>
          <w:rFonts w:asciiTheme="minorHAnsi" w:hAnsiTheme="minorHAnsi"/>
          <w:sz w:val="20"/>
          <w:szCs w:val="20"/>
        </w:rPr>
        <w:t xml:space="preserve"> </w:t>
      </w:r>
      <w:r w:rsidR="00054390" w:rsidRPr="00054390">
        <w:rPr>
          <w:rFonts w:asciiTheme="minorHAnsi" w:hAnsiTheme="minorHAnsi"/>
          <w:i/>
          <w:sz w:val="20"/>
          <w:szCs w:val="20"/>
        </w:rPr>
        <w:t>(</w:t>
      </w:r>
      <w:r w:rsidR="009C26E7">
        <w:rPr>
          <w:rFonts w:asciiTheme="minorHAnsi" w:hAnsiTheme="minorHAnsi"/>
          <w:i/>
          <w:sz w:val="20"/>
          <w:szCs w:val="20"/>
        </w:rPr>
        <w:t xml:space="preserve">Calibrations, </w:t>
      </w:r>
      <w:r w:rsidR="00054390" w:rsidRPr="00054390">
        <w:rPr>
          <w:rFonts w:asciiTheme="minorHAnsi" w:hAnsiTheme="minorHAnsi"/>
          <w:i/>
          <w:sz w:val="20"/>
          <w:szCs w:val="20"/>
        </w:rPr>
        <w:t>Layettes,</w:t>
      </w:r>
      <w:r w:rsidR="003D230F">
        <w:rPr>
          <w:rFonts w:asciiTheme="minorHAnsi" w:hAnsiTheme="minorHAnsi"/>
          <w:i/>
          <w:sz w:val="20"/>
          <w:szCs w:val="20"/>
        </w:rPr>
        <w:t xml:space="preserve"> Modifications, </w:t>
      </w:r>
      <w:r w:rsidR="00646853">
        <w:rPr>
          <w:rFonts w:asciiTheme="minorHAnsi" w:hAnsiTheme="minorHAnsi"/>
          <w:i/>
          <w:sz w:val="20"/>
          <w:szCs w:val="20"/>
        </w:rPr>
        <w:t xml:space="preserve">OVE, </w:t>
      </w:r>
      <w:r w:rsidR="007774F8">
        <w:rPr>
          <w:rFonts w:asciiTheme="minorHAnsi" w:hAnsiTheme="minorHAnsi"/>
          <w:i/>
          <w:sz w:val="20"/>
          <w:szCs w:val="20"/>
        </w:rPr>
        <w:t xml:space="preserve">QC, </w:t>
      </w:r>
      <w:r w:rsidR="00B865DB">
        <w:rPr>
          <w:rFonts w:asciiTheme="minorHAnsi" w:hAnsiTheme="minorHAnsi"/>
          <w:i/>
          <w:sz w:val="20"/>
          <w:szCs w:val="20"/>
        </w:rPr>
        <w:t>Tool Room)</w:t>
      </w:r>
    </w:p>
    <w:p w:rsidR="00425448" w:rsidRPr="00054390" w:rsidRDefault="00425448" w:rsidP="00280D17">
      <w:pPr>
        <w:pStyle w:val="Default"/>
        <w:rPr>
          <w:rFonts w:asciiTheme="minorHAnsi" w:hAnsiTheme="minorHAnsi"/>
          <w:sz w:val="20"/>
          <w:szCs w:val="20"/>
        </w:rPr>
      </w:pPr>
    </w:p>
    <w:p w:rsidR="00425448" w:rsidRDefault="00425448" w:rsidP="00280D17">
      <w:pPr>
        <w:pStyle w:val="Default"/>
        <w:rPr>
          <w:rFonts w:asciiTheme="minorHAnsi" w:hAnsiTheme="minorHAnsi" w:cs="TimesNewRoman,Bold"/>
          <w:bCs/>
          <w:sz w:val="20"/>
          <w:szCs w:val="20"/>
        </w:rPr>
      </w:pPr>
      <w:r w:rsidRPr="00054390">
        <w:rPr>
          <w:rFonts w:asciiTheme="minorHAnsi" w:hAnsiTheme="minorHAnsi" w:cs="TimesNewRoman,Bold"/>
          <w:bCs/>
          <w:sz w:val="20"/>
          <w:szCs w:val="20"/>
        </w:rPr>
        <w:t>Maintenance Management Policy Notices released by the Commanding Officer provide additional guidance to maintenance activities already referenced in the unit MMSOP. See Regimental Po</w:t>
      </w:r>
      <w:r w:rsidR="008A7C38" w:rsidRPr="00054390">
        <w:rPr>
          <w:rFonts w:asciiTheme="minorHAnsi" w:hAnsiTheme="minorHAnsi" w:cs="TimesNewRoman,Bold"/>
          <w:bCs/>
          <w:sz w:val="20"/>
          <w:szCs w:val="20"/>
        </w:rPr>
        <w:t xml:space="preserve">licy Letter 2-16 in section library for commodity </w:t>
      </w:r>
      <w:r w:rsidRPr="00054390">
        <w:rPr>
          <w:rFonts w:asciiTheme="minorHAnsi" w:hAnsiTheme="minorHAnsi" w:cs="TimesNewRoman,Bold"/>
          <w:bCs/>
          <w:sz w:val="20"/>
          <w:szCs w:val="20"/>
        </w:rPr>
        <w:t>applicability.</w:t>
      </w:r>
    </w:p>
    <w:p w:rsidR="00E32577" w:rsidRDefault="00E32577" w:rsidP="00280D17">
      <w:pPr>
        <w:pStyle w:val="Default"/>
        <w:rPr>
          <w:rFonts w:asciiTheme="minorHAnsi" w:hAnsiTheme="minorHAnsi" w:cs="TimesNewRoman,Bold"/>
          <w:bCs/>
          <w:sz w:val="20"/>
          <w:szCs w:val="20"/>
        </w:rPr>
      </w:pPr>
    </w:p>
    <w:p w:rsidR="00E32577" w:rsidRDefault="00E32577" w:rsidP="00280D17">
      <w:pPr>
        <w:pStyle w:val="Default"/>
        <w:rPr>
          <w:rFonts w:asciiTheme="minorHAnsi" w:hAnsiTheme="minorHAnsi"/>
          <w:i/>
          <w:sz w:val="20"/>
          <w:szCs w:val="20"/>
        </w:rPr>
      </w:pPr>
      <w:r w:rsidRPr="00E32577">
        <w:rPr>
          <w:rFonts w:asciiTheme="minorHAnsi" w:hAnsiTheme="minorHAnsi"/>
          <w:sz w:val="20"/>
          <w:szCs w:val="20"/>
        </w:rPr>
        <w:t xml:space="preserve">Ground Equipment Record Procedures provides detailed instructions for preparation, use and disposition of forms/records for Marine Corps Ground Equipment to include calibration control procedures. </w:t>
      </w:r>
      <w:r w:rsidRPr="00E32577">
        <w:rPr>
          <w:rFonts w:asciiTheme="minorHAnsi" w:hAnsiTheme="minorHAnsi"/>
          <w:i/>
          <w:sz w:val="20"/>
          <w:szCs w:val="20"/>
        </w:rPr>
        <w:t>(</w:t>
      </w:r>
      <w:r>
        <w:rPr>
          <w:rFonts w:asciiTheme="minorHAnsi" w:hAnsiTheme="minorHAnsi"/>
          <w:i/>
          <w:sz w:val="20"/>
          <w:szCs w:val="20"/>
        </w:rPr>
        <w:t>Calibrations,</w:t>
      </w:r>
      <w:r w:rsidR="003D230F">
        <w:rPr>
          <w:rFonts w:asciiTheme="minorHAnsi" w:hAnsiTheme="minorHAnsi"/>
          <w:i/>
          <w:sz w:val="20"/>
          <w:szCs w:val="20"/>
        </w:rPr>
        <w:t xml:space="preserve"> Modifications, </w:t>
      </w:r>
      <w:r w:rsidR="00646853">
        <w:rPr>
          <w:rFonts w:asciiTheme="minorHAnsi" w:hAnsiTheme="minorHAnsi"/>
          <w:i/>
          <w:sz w:val="20"/>
          <w:szCs w:val="20"/>
        </w:rPr>
        <w:t xml:space="preserve">OVE, </w:t>
      </w:r>
      <w:r w:rsidR="005D0762">
        <w:rPr>
          <w:rFonts w:asciiTheme="minorHAnsi" w:hAnsiTheme="minorHAnsi"/>
          <w:i/>
          <w:sz w:val="20"/>
          <w:szCs w:val="20"/>
        </w:rPr>
        <w:t xml:space="preserve">Publications, </w:t>
      </w:r>
      <w:r w:rsidR="00DE0EBF">
        <w:rPr>
          <w:rFonts w:asciiTheme="minorHAnsi" w:hAnsiTheme="minorHAnsi"/>
          <w:i/>
          <w:sz w:val="20"/>
          <w:szCs w:val="20"/>
        </w:rPr>
        <w:t>Tool Room)</w:t>
      </w:r>
      <w:bookmarkStart w:id="0" w:name="_GoBack"/>
      <w:bookmarkEnd w:id="0"/>
    </w:p>
    <w:p w:rsidR="009C26E7" w:rsidRDefault="009C26E7" w:rsidP="00280D17">
      <w:pPr>
        <w:pStyle w:val="Default"/>
        <w:rPr>
          <w:rFonts w:asciiTheme="minorHAnsi" w:hAnsiTheme="minorHAnsi"/>
          <w:i/>
          <w:sz w:val="20"/>
          <w:szCs w:val="20"/>
        </w:rPr>
      </w:pPr>
    </w:p>
    <w:p w:rsidR="009C26E7" w:rsidRDefault="009C26E7" w:rsidP="00280D17">
      <w:pPr>
        <w:pStyle w:val="Default"/>
        <w:rPr>
          <w:rFonts w:asciiTheme="minorHAnsi" w:hAnsiTheme="minorHAnsi"/>
          <w:i/>
          <w:sz w:val="20"/>
          <w:szCs w:val="20"/>
        </w:rPr>
      </w:pPr>
      <w:proofErr w:type="gramStart"/>
      <w:r w:rsidRPr="009C26E7">
        <w:rPr>
          <w:rFonts w:asciiTheme="minorHAnsi" w:hAnsiTheme="minorHAnsi" w:cs="Courier New"/>
          <w:sz w:val="20"/>
          <w:szCs w:val="20"/>
        </w:rPr>
        <w:t>The governing order pertaining to the calibration of TMDE to include proper scheduling and other responsibilities.</w:t>
      </w:r>
      <w:proofErr w:type="gramEnd"/>
      <w:r w:rsidRPr="009C26E7">
        <w:rPr>
          <w:rFonts w:asciiTheme="minorHAnsi" w:hAnsiTheme="minorHAnsi" w:cs="Courier New"/>
          <w:sz w:val="20"/>
          <w:szCs w:val="20"/>
        </w:rPr>
        <w:t xml:space="preserve"> </w:t>
      </w:r>
      <w:r w:rsidRPr="009C26E7">
        <w:rPr>
          <w:rFonts w:asciiTheme="minorHAnsi" w:hAnsiTheme="minorHAnsi" w:cs="Courier New"/>
          <w:i/>
          <w:sz w:val="20"/>
          <w:szCs w:val="20"/>
        </w:rPr>
        <w:t>(</w:t>
      </w:r>
      <w:r>
        <w:rPr>
          <w:rFonts w:asciiTheme="minorHAnsi" w:hAnsiTheme="minorHAnsi" w:cs="Courier New"/>
          <w:i/>
          <w:sz w:val="20"/>
          <w:szCs w:val="20"/>
        </w:rPr>
        <w:t>Calibrations)</w:t>
      </w:r>
    </w:p>
    <w:p w:rsidR="009C26E7" w:rsidRDefault="009C26E7" w:rsidP="00280D17">
      <w:pPr>
        <w:pStyle w:val="Default"/>
        <w:rPr>
          <w:rFonts w:asciiTheme="minorHAnsi" w:hAnsiTheme="minorHAnsi"/>
          <w:i/>
          <w:sz w:val="20"/>
          <w:szCs w:val="20"/>
        </w:rPr>
      </w:pPr>
    </w:p>
    <w:p w:rsidR="009C26E7" w:rsidRDefault="009C26E7" w:rsidP="00280D17">
      <w:pPr>
        <w:pStyle w:val="Default"/>
        <w:rPr>
          <w:rFonts w:asciiTheme="minorHAnsi" w:hAnsiTheme="minorHAnsi"/>
          <w:i/>
          <w:sz w:val="20"/>
          <w:szCs w:val="20"/>
        </w:rPr>
      </w:pPr>
      <w:r w:rsidRPr="009C26E7">
        <w:rPr>
          <w:rFonts w:asciiTheme="minorHAnsi" w:hAnsiTheme="minorHAnsi"/>
          <w:sz w:val="20"/>
          <w:szCs w:val="20"/>
        </w:rPr>
        <w:t xml:space="preserve">Determines marking requirements for TMDE with specific labels and/or tags and identifies which type of calibration is required for each individual TMDE item. </w:t>
      </w:r>
      <w:r w:rsidRPr="009C26E7">
        <w:rPr>
          <w:rFonts w:asciiTheme="minorHAnsi" w:hAnsiTheme="minorHAnsi"/>
          <w:i/>
          <w:sz w:val="20"/>
          <w:szCs w:val="20"/>
        </w:rPr>
        <w:t>(</w:t>
      </w:r>
      <w:r>
        <w:rPr>
          <w:rFonts w:asciiTheme="minorHAnsi" w:hAnsiTheme="minorHAnsi"/>
          <w:i/>
          <w:sz w:val="20"/>
          <w:szCs w:val="20"/>
        </w:rPr>
        <w:t>Calibrations)</w:t>
      </w:r>
    </w:p>
    <w:p w:rsidR="00907A1F" w:rsidRDefault="00907A1F" w:rsidP="00280D17">
      <w:pPr>
        <w:pStyle w:val="Default"/>
        <w:rPr>
          <w:rFonts w:asciiTheme="minorHAnsi" w:hAnsiTheme="minorHAnsi"/>
          <w:i/>
          <w:sz w:val="20"/>
          <w:szCs w:val="20"/>
        </w:rPr>
      </w:pPr>
    </w:p>
    <w:p w:rsidR="00907A1F" w:rsidRDefault="00907A1F" w:rsidP="00280D17">
      <w:pPr>
        <w:pStyle w:val="Default"/>
        <w:rPr>
          <w:rFonts w:asciiTheme="minorHAnsi" w:hAnsiTheme="minorHAnsi" w:cs="Arial"/>
          <w:i/>
          <w:sz w:val="20"/>
          <w:szCs w:val="20"/>
        </w:rPr>
      </w:pPr>
      <w:proofErr w:type="gramStart"/>
      <w:r w:rsidRPr="00907A1F">
        <w:rPr>
          <w:rFonts w:asciiTheme="minorHAnsi" w:hAnsiTheme="minorHAnsi" w:cs="Arial"/>
          <w:sz w:val="20"/>
          <w:szCs w:val="20"/>
        </w:rPr>
        <w:t>Provides instructions for the proper calibration of Torque Tools having a TMDE classification</w:t>
      </w:r>
      <w:r>
        <w:rPr>
          <w:rFonts w:asciiTheme="minorHAnsi" w:hAnsiTheme="minorHAnsi" w:cs="Arial"/>
          <w:sz w:val="20"/>
          <w:szCs w:val="20"/>
        </w:rPr>
        <w:t>.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</w:t>
      </w:r>
      <w:r w:rsidRPr="00907A1F">
        <w:rPr>
          <w:rFonts w:asciiTheme="minorHAnsi" w:hAnsiTheme="minorHAnsi" w:cs="Arial"/>
          <w:i/>
          <w:sz w:val="20"/>
          <w:szCs w:val="20"/>
        </w:rPr>
        <w:t>(Calibrations)</w:t>
      </w:r>
    </w:p>
    <w:p w:rsidR="00907A1F" w:rsidRDefault="00907A1F" w:rsidP="00280D17">
      <w:pPr>
        <w:pStyle w:val="Default"/>
        <w:rPr>
          <w:rFonts w:asciiTheme="minorHAnsi" w:hAnsiTheme="minorHAnsi" w:cs="Arial"/>
          <w:i/>
          <w:sz w:val="20"/>
          <w:szCs w:val="20"/>
        </w:rPr>
      </w:pPr>
    </w:p>
    <w:p w:rsidR="005D0762" w:rsidRPr="00B865DB" w:rsidRDefault="00907A1F" w:rsidP="00280D17">
      <w:pPr>
        <w:pStyle w:val="Default"/>
        <w:rPr>
          <w:rFonts w:asciiTheme="minorHAnsi" w:hAnsiTheme="minorHAnsi" w:cs="TimesNewRoman,Bold"/>
          <w:bCs/>
          <w:i/>
          <w:sz w:val="20"/>
          <w:szCs w:val="20"/>
        </w:rPr>
      </w:pPr>
      <w:r w:rsidRPr="00907A1F">
        <w:rPr>
          <w:rFonts w:asciiTheme="minorHAnsi" w:hAnsiTheme="minorHAnsi" w:cs="TimesNewRoman,Bold"/>
          <w:bCs/>
          <w:sz w:val="20"/>
          <w:szCs w:val="20"/>
        </w:rPr>
        <w:t>General Purpose Test, Measurement and Diagnostic Equipment (TMDE) Listing</w:t>
      </w:r>
      <w:r>
        <w:rPr>
          <w:rFonts w:asciiTheme="minorHAnsi" w:hAnsiTheme="minorHAnsi" w:cs="TimesNewRoman,Bold"/>
          <w:bCs/>
          <w:sz w:val="20"/>
          <w:szCs w:val="20"/>
        </w:rPr>
        <w:t xml:space="preserve"> </w:t>
      </w:r>
      <w:r w:rsidRPr="00907A1F">
        <w:rPr>
          <w:rFonts w:asciiTheme="minorHAnsi" w:hAnsiTheme="minorHAnsi" w:cs="TimesNewRoman,Bold"/>
          <w:bCs/>
          <w:i/>
          <w:sz w:val="20"/>
          <w:szCs w:val="20"/>
        </w:rPr>
        <w:t>(Calibrations)</w:t>
      </w:r>
    </w:p>
    <w:p w:rsidR="00902129" w:rsidRDefault="00902129" w:rsidP="00280D17">
      <w:pPr>
        <w:pStyle w:val="Default"/>
        <w:rPr>
          <w:rFonts w:asciiTheme="minorHAnsi" w:hAnsiTheme="minorHAnsi"/>
          <w:i/>
          <w:sz w:val="20"/>
          <w:szCs w:val="20"/>
        </w:rPr>
      </w:pPr>
    </w:p>
    <w:p w:rsidR="00902129" w:rsidRPr="005D0762" w:rsidRDefault="00902129" w:rsidP="00280D17">
      <w:pPr>
        <w:pStyle w:val="Default"/>
        <w:rPr>
          <w:rFonts w:asciiTheme="minorHAnsi" w:hAnsiTheme="minorHAnsi"/>
          <w:i/>
          <w:sz w:val="20"/>
          <w:szCs w:val="20"/>
        </w:rPr>
        <w:sectPr w:rsidR="00902129" w:rsidRPr="005D0762" w:rsidSect="006756A5"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2400" w:space="720"/>
            <w:col w:w="5520"/>
          </w:cols>
          <w:docGrid w:linePitch="360"/>
        </w:sectPr>
      </w:pPr>
    </w:p>
    <w:p w:rsidR="00A60BDB" w:rsidRPr="00CF14AA" w:rsidRDefault="00A60BDB" w:rsidP="00CF14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"/>
          <w:sz w:val="24"/>
          <w:szCs w:val="24"/>
        </w:rPr>
      </w:pPr>
    </w:p>
    <w:sectPr w:rsidR="00A60BDB" w:rsidRPr="00CF14AA" w:rsidSect="009C4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2EB" w:rsidRDefault="001B72EB" w:rsidP="005D25CB">
      <w:pPr>
        <w:spacing w:after="0" w:line="240" w:lineRule="auto"/>
      </w:pPr>
      <w:r>
        <w:separator/>
      </w:r>
    </w:p>
  </w:endnote>
  <w:endnote w:type="continuationSeparator" w:id="0">
    <w:p w:rsidR="001B72EB" w:rsidRDefault="001B72EB" w:rsidP="005D2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D17" w:rsidRDefault="00280D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D17" w:rsidRDefault="00280D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D17" w:rsidRDefault="00280D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2EB" w:rsidRDefault="001B72EB" w:rsidP="005D25CB">
      <w:pPr>
        <w:spacing w:after="0" w:line="240" w:lineRule="auto"/>
      </w:pPr>
      <w:r>
        <w:separator/>
      </w:r>
    </w:p>
  </w:footnote>
  <w:footnote w:type="continuationSeparator" w:id="0">
    <w:p w:rsidR="001B72EB" w:rsidRDefault="001B72EB" w:rsidP="005D2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D17" w:rsidRDefault="001B72E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535476" o:spid="_x0000_s2050" type="#_x0000_t75" style="position:absolute;margin-left:0;margin-top:0;width:6in;height:540pt;z-index:-251657216;mso-position-horizontal:center;mso-position-horizontal-relative:margin;mso-position-vertical:center;mso-position-vertical-relative:margin" o:allowincell="f">
          <v:imagedata r:id="rId1" o:title="Unit Logo 25th Mar Re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D17" w:rsidRDefault="001B72E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535477" o:spid="_x0000_s2051" type="#_x0000_t75" style="position:absolute;margin-left:0;margin-top:0;width:6in;height:540pt;z-index:-251656192;mso-position-horizontal:center;mso-position-horizontal-relative:margin;mso-position-vertical:center;mso-position-vertical-relative:margin" o:allowincell="f">
          <v:imagedata r:id="rId1" o:title="Unit Logo 25th Mar Re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D17" w:rsidRDefault="001B72E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535475" o:spid="_x0000_s2049" type="#_x0000_t75" style="position:absolute;margin-left:0;margin-top:0;width:6in;height:540pt;z-index:-251658240;mso-position-horizontal:center;mso-position-horizontal-relative:margin;mso-position-vertical:center;mso-position-vertical-relative:margin" o:allowincell="f">
          <v:imagedata r:id="rId1" o:title="Unit Logo 25th Mar Re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40D2"/>
    <w:multiLevelType w:val="hybridMultilevel"/>
    <w:tmpl w:val="1FE041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C7095C"/>
    <w:multiLevelType w:val="hybridMultilevel"/>
    <w:tmpl w:val="D4EE39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4C0D57"/>
    <w:multiLevelType w:val="hybridMultilevel"/>
    <w:tmpl w:val="26E81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7463F5"/>
    <w:multiLevelType w:val="hybridMultilevel"/>
    <w:tmpl w:val="B4D26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66D63"/>
    <w:multiLevelType w:val="hybridMultilevel"/>
    <w:tmpl w:val="FF1441DA"/>
    <w:lvl w:ilvl="0" w:tplc="BF362E0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22"/>
    <w:rsid w:val="00054390"/>
    <w:rsid w:val="000A4361"/>
    <w:rsid w:val="000A6980"/>
    <w:rsid w:val="000D1F33"/>
    <w:rsid w:val="001006C7"/>
    <w:rsid w:val="0013225E"/>
    <w:rsid w:val="0015077D"/>
    <w:rsid w:val="00180B42"/>
    <w:rsid w:val="001B188C"/>
    <w:rsid w:val="001B72EB"/>
    <w:rsid w:val="00280D17"/>
    <w:rsid w:val="002A3375"/>
    <w:rsid w:val="002B08E4"/>
    <w:rsid w:val="002E213C"/>
    <w:rsid w:val="003054ED"/>
    <w:rsid w:val="003062E4"/>
    <w:rsid w:val="00317831"/>
    <w:rsid w:val="00362E6F"/>
    <w:rsid w:val="003D230F"/>
    <w:rsid w:val="00410122"/>
    <w:rsid w:val="00425448"/>
    <w:rsid w:val="004765B4"/>
    <w:rsid w:val="004B2D66"/>
    <w:rsid w:val="005D0762"/>
    <w:rsid w:val="005D25CB"/>
    <w:rsid w:val="005E2AD1"/>
    <w:rsid w:val="0060105D"/>
    <w:rsid w:val="00646853"/>
    <w:rsid w:val="0065111F"/>
    <w:rsid w:val="006B3C93"/>
    <w:rsid w:val="006F6249"/>
    <w:rsid w:val="007277A7"/>
    <w:rsid w:val="0073056E"/>
    <w:rsid w:val="007774F8"/>
    <w:rsid w:val="007D362F"/>
    <w:rsid w:val="007E5A46"/>
    <w:rsid w:val="0080522A"/>
    <w:rsid w:val="008678A6"/>
    <w:rsid w:val="008A3226"/>
    <w:rsid w:val="008A7C38"/>
    <w:rsid w:val="008C527B"/>
    <w:rsid w:val="008D05E1"/>
    <w:rsid w:val="008D2179"/>
    <w:rsid w:val="00902129"/>
    <w:rsid w:val="00907A1F"/>
    <w:rsid w:val="00926676"/>
    <w:rsid w:val="00970BBA"/>
    <w:rsid w:val="009B2C6F"/>
    <w:rsid w:val="009C26E7"/>
    <w:rsid w:val="009C4124"/>
    <w:rsid w:val="009E2464"/>
    <w:rsid w:val="00A07D48"/>
    <w:rsid w:val="00A60BDB"/>
    <w:rsid w:val="00A67EAD"/>
    <w:rsid w:val="00A75ABA"/>
    <w:rsid w:val="00AD6DEC"/>
    <w:rsid w:val="00AF2256"/>
    <w:rsid w:val="00B35BC6"/>
    <w:rsid w:val="00B52C8B"/>
    <w:rsid w:val="00B56680"/>
    <w:rsid w:val="00B76A10"/>
    <w:rsid w:val="00B80969"/>
    <w:rsid w:val="00B865DB"/>
    <w:rsid w:val="00C177FA"/>
    <w:rsid w:val="00C249D6"/>
    <w:rsid w:val="00C46F47"/>
    <w:rsid w:val="00CA1B40"/>
    <w:rsid w:val="00CF14AA"/>
    <w:rsid w:val="00CF5A49"/>
    <w:rsid w:val="00D00A2D"/>
    <w:rsid w:val="00D043E0"/>
    <w:rsid w:val="00D3438F"/>
    <w:rsid w:val="00D65D93"/>
    <w:rsid w:val="00D70972"/>
    <w:rsid w:val="00DE0EBF"/>
    <w:rsid w:val="00E238F3"/>
    <w:rsid w:val="00E32577"/>
    <w:rsid w:val="00E416C7"/>
    <w:rsid w:val="00EF16E9"/>
    <w:rsid w:val="00FB1BD2"/>
    <w:rsid w:val="00FB7F54"/>
    <w:rsid w:val="00FE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5D25CB"/>
    <w:pPr>
      <w:spacing w:after="0" w:line="240" w:lineRule="auto"/>
    </w:pPr>
    <w:rPr>
      <w:rFonts w:ascii="Courier New" w:eastAsia="Times New Roman" w:hAnsi="Courier New" w:cs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D25CB"/>
    <w:rPr>
      <w:rFonts w:ascii="Courier New" w:eastAsia="Times New Roman" w:hAnsi="Courier New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D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5CB"/>
  </w:style>
  <w:style w:type="paragraph" w:styleId="Footer">
    <w:name w:val="footer"/>
    <w:basedOn w:val="Normal"/>
    <w:link w:val="FooterChar"/>
    <w:uiPriority w:val="99"/>
    <w:unhideWhenUsed/>
    <w:rsid w:val="005D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5CB"/>
  </w:style>
  <w:style w:type="paragraph" w:styleId="Title">
    <w:name w:val="Title"/>
    <w:basedOn w:val="Normal"/>
    <w:link w:val="TitleChar"/>
    <w:qFormat/>
    <w:rsid w:val="00D043E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D043E0"/>
    <w:rPr>
      <w:rFonts w:ascii="Times New Roman" w:eastAsia="Times New Roman" w:hAnsi="Times New Roman" w:cs="Times New Roman"/>
      <w:sz w:val="32"/>
      <w:szCs w:val="24"/>
      <w:u w:val="single"/>
    </w:rPr>
  </w:style>
  <w:style w:type="paragraph" w:styleId="NoSpacing">
    <w:name w:val="No Spacing"/>
    <w:uiPriority w:val="1"/>
    <w:qFormat/>
    <w:rsid w:val="008C527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E3B63"/>
    <w:rPr>
      <w:color w:val="0000FF" w:themeColor="hyperlink"/>
      <w:u w:val="single"/>
    </w:rPr>
  </w:style>
  <w:style w:type="paragraph" w:customStyle="1" w:styleId="Default">
    <w:name w:val="Default"/>
    <w:rsid w:val="002A33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5D25CB"/>
    <w:pPr>
      <w:spacing w:after="0" w:line="240" w:lineRule="auto"/>
    </w:pPr>
    <w:rPr>
      <w:rFonts w:ascii="Courier New" w:eastAsia="Times New Roman" w:hAnsi="Courier New" w:cs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D25CB"/>
    <w:rPr>
      <w:rFonts w:ascii="Courier New" w:eastAsia="Times New Roman" w:hAnsi="Courier New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D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5CB"/>
  </w:style>
  <w:style w:type="paragraph" w:styleId="Footer">
    <w:name w:val="footer"/>
    <w:basedOn w:val="Normal"/>
    <w:link w:val="FooterChar"/>
    <w:uiPriority w:val="99"/>
    <w:unhideWhenUsed/>
    <w:rsid w:val="005D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5CB"/>
  </w:style>
  <w:style w:type="paragraph" w:styleId="Title">
    <w:name w:val="Title"/>
    <w:basedOn w:val="Normal"/>
    <w:link w:val="TitleChar"/>
    <w:qFormat/>
    <w:rsid w:val="00D043E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D043E0"/>
    <w:rPr>
      <w:rFonts w:ascii="Times New Roman" w:eastAsia="Times New Roman" w:hAnsi="Times New Roman" w:cs="Times New Roman"/>
      <w:sz w:val="32"/>
      <w:szCs w:val="24"/>
      <w:u w:val="single"/>
    </w:rPr>
  </w:style>
  <w:style w:type="paragraph" w:styleId="NoSpacing">
    <w:name w:val="No Spacing"/>
    <w:uiPriority w:val="1"/>
    <w:qFormat/>
    <w:rsid w:val="008C527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E3B63"/>
    <w:rPr>
      <w:color w:val="0000FF" w:themeColor="hyperlink"/>
      <w:u w:val="single"/>
    </w:rPr>
  </w:style>
  <w:style w:type="paragraph" w:customStyle="1" w:styleId="Default">
    <w:name w:val="Default"/>
    <w:rsid w:val="002A33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C226A-C3CC-4182-82F8-9C5932C7E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Saavedra</dc:creator>
  <cp:lastModifiedBy>Nordquist Sgt Kenneth D</cp:lastModifiedBy>
  <cp:revision>20</cp:revision>
  <cp:lastPrinted>2012-10-03T23:25:00Z</cp:lastPrinted>
  <dcterms:created xsi:type="dcterms:W3CDTF">2016-04-03T18:27:00Z</dcterms:created>
  <dcterms:modified xsi:type="dcterms:W3CDTF">2016-04-16T19:22:00Z</dcterms:modified>
</cp:coreProperties>
</file>