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21" w:rsidRPr="00AF62AB" w:rsidRDefault="0059036F" w:rsidP="0059036F">
      <w:pPr>
        <w:pStyle w:val="Title"/>
        <w:rPr>
          <w:rFonts w:asciiTheme="minorHAnsi" w:hAnsiTheme="minorHAnsi"/>
          <w:b/>
          <w:sz w:val="36"/>
          <w:szCs w:val="36"/>
          <w:u w:val="none"/>
        </w:rPr>
      </w:pPr>
      <w:r w:rsidRPr="00AF62AB">
        <w:rPr>
          <w:rFonts w:asciiTheme="minorHAnsi" w:hAnsiTheme="minorHAnsi"/>
          <w:b/>
          <w:sz w:val="36"/>
          <w:szCs w:val="36"/>
          <w:u w:val="none"/>
        </w:rPr>
        <w:t>Miscellaneous Information</w:t>
      </w:r>
    </w:p>
    <w:p w:rsidR="00FF13EF" w:rsidRPr="00AF62AB" w:rsidRDefault="00FF13EF" w:rsidP="00FD6F21">
      <w:pPr>
        <w:pStyle w:val="Title"/>
        <w:rPr>
          <w:rFonts w:asciiTheme="minorHAnsi" w:hAnsiTheme="minorHAnsi"/>
          <w:sz w:val="24"/>
          <w:u w:val="none"/>
        </w:rPr>
      </w:pPr>
    </w:p>
    <w:p w:rsidR="00620205" w:rsidRDefault="00620205" w:rsidP="00620205">
      <w:pPr>
        <w:ind w:firstLine="720"/>
      </w:pPr>
      <w:r w:rsidRPr="00A86214">
        <w:rPr>
          <w:u w:val="single"/>
        </w:rPr>
        <w:t>TAB</w:t>
      </w:r>
      <w:r>
        <w:t xml:space="preserve">                </w:t>
      </w:r>
      <w:r w:rsidRPr="00A86214">
        <w:rPr>
          <w:u w:val="single"/>
        </w:rPr>
        <w:t>TOPIC</w:t>
      </w:r>
    </w:p>
    <w:p w:rsidR="00620205" w:rsidRDefault="00620205" w:rsidP="00620205">
      <w:pPr>
        <w:ind w:firstLine="720"/>
        <w:rPr>
          <w:sz w:val="24"/>
          <w:szCs w:val="24"/>
        </w:rPr>
      </w:pPr>
      <w:r>
        <w:rPr>
          <w:rFonts w:ascii="Courier New" w:hAnsi="Courier New" w:cs="Courier New"/>
          <w:sz w:val="24"/>
          <w:szCs w:val="24"/>
        </w:rPr>
        <w:t xml:space="preserve">. </w:t>
      </w:r>
      <w:r w:rsidRPr="00CF261C">
        <w:rPr>
          <w:rFonts w:ascii="Courier New" w:hAnsi="Courier New" w:cs="Courier New"/>
          <w:sz w:val="24"/>
          <w:szCs w:val="24"/>
        </w:rPr>
        <w:t>. .</w:t>
      </w:r>
      <w:r>
        <w:rPr>
          <w:rFonts w:ascii="Courier New" w:hAnsi="Courier New" w:cs="Courier New"/>
          <w:sz w:val="24"/>
          <w:szCs w:val="24"/>
        </w:rPr>
        <w:t xml:space="preserve"> . </w:t>
      </w:r>
      <w:r>
        <w:rPr>
          <w:sz w:val="24"/>
          <w:szCs w:val="24"/>
        </w:rPr>
        <w:t>Additional Useful Information</w:t>
      </w:r>
    </w:p>
    <w:p w:rsidR="00127ADB" w:rsidRDefault="00127ADB" w:rsidP="00620205">
      <w:pPr>
        <w:ind w:firstLine="720"/>
        <w:rPr>
          <w:sz w:val="24"/>
          <w:szCs w:val="24"/>
        </w:rPr>
      </w:pPr>
      <w:r>
        <w:rPr>
          <w:sz w:val="24"/>
          <w:szCs w:val="24"/>
        </w:rPr>
        <w:t xml:space="preserve">7   </w:t>
      </w:r>
      <w:r w:rsidRPr="00CF261C">
        <w:rPr>
          <w:rFonts w:ascii="Courier New" w:hAnsi="Courier New" w:cs="Courier New"/>
          <w:sz w:val="24"/>
          <w:szCs w:val="24"/>
        </w:rPr>
        <w:t>. .</w:t>
      </w:r>
      <w:r>
        <w:rPr>
          <w:rFonts w:ascii="Courier New" w:hAnsi="Courier New" w:cs="Courier New"/>
          <w:sz w:val="24"/>
          <w:szCs w:val="24"/>
        </w:rPr>
        <w:t xml:space="preserve"> . </w:t>
      </w:r>
      <w:r>
        <w:rPr>
          <w:sz w:val="24"/>
          <w:szCs w:val="24"/>
        </w:rPr>
        <w:t>Early Calibration Request Example Letter Head</w:t>
      </w:r>
    </w:p>
    <w:p w:rsidR="00127ADB" w:rsidRDefault="00127ADB" w:rsidP="00127ADB">
      <w:pPr>
        <w:ind w:firstLine="720"/>
        <w:rPr>
          <w:sz w:val="24"/>
          <w:szCs w:val="24"/>
        </w:rPr>
      </w:pPr>
      <w:r>
        <w:rPr>
          <w:sz w:val="24"/>
          <w:szCs w:val="24"/>
        </w:rPr>
        <w:t>8</w:t>
      </w:r>
      <w:r>
        <w:rPr>
          <w:sz w:val="24"/>
          <w:szCs w:val="24"/>
        </w:rPr>
        <w:t xml:space="preserve">   </w:t>
      </w:r>
      <w:r w:rsidRPr="00CF261C">
        <w:rPr>
          <w:rFonts w:ascii="Courier New" w:hAnsi="Courier New" w:cs="Courier New"/>
          <w:sz w:val="24"/>
          <w:szCs w:val="24"/>
        </w:rPr>
        <w:t>. .</w:t>
      </w:r>
      <w:r>
        <w:rPr>
          <w:rFonts w:ascii="Courier New" w:hAnsi="Courier New" w:cs="Courier New"/>
          <w:sz w:val="24"/>
          <w:szCs w:val="24"/>
        </w:rPr>
        <w:t xml:space="preserve"> . </w:t>
      </w:r>
      <w:r>
        <w:rPr>
          <w:sz w:val="24"/>
          <w:szCs w:val="24"/>
        </w:rPr>
        <w:t>Overdue</w:t>
      </w:r>
      <w:r>
        <w:rPr>
          <w:sz w:val="24"/>
          <w:szCs w:val="24"/>
        </w:rPr>
        <w:t xml:space="preserve"> Calibration Request Example Letter Head</w:t>
      </w:r>
    </w:p>
    <w:p w:rsidR="00D416FF" w:rsidRDefault="00D416FF" w:rsidP="00D416FF">
      <w:pPr>
        <w:ind w:firstLine="720"/>
        <w:rPr>
          <w:sz w:val="24"/>
          <w:szCs w:val="24"/>
        </w:rPr>
      </w:pPr>
      <w:r>
        <w:rPr>
          <w:sz w:val="24"/>
          <w:szCs w:val="24"/>
        </w:rPr>
        <w:t>9</w:t>
      </w:r>
      <w:r>
        <w:rPr>
          <w:sz w:val="24"/>
          <w:szCs w:val="24"/>
        </w:rPr>
        <w:t xml:space="preserve">   </w:t>
      </w:r>
      <w:r w:rsidRPr="00CF261C">
        <w:rPr>
          <w:rFonts w:ascii="Courier New" w:hAnsi="Courier New" w:cs="Courier New"/>
          <w:sz w:val="24"/>
          <w:szCs w:val="24"/>
        </w:rPr>
        <w:t>. .</w:t>
      </w:r>
      <w:r>
        <w:rPr>
          <w:rFonts w:ascii="Courier New" w:hAnsi="Courier New" w:cs="Courier New"/>
          <w:sz w:val="24"/>
          <w:szCs w:val="24"/>
        </w:rPr>
        <w:t xml:space="preserve"> . </w:t>
      </w:r>
      <w:r>
        <w:rPr>
          <w:sz w:val="24"/>
          <w:szCs w:val="24"/>
        </w:rPr>
        <w:t>Annual TMDE Review</w:t>
      </w:r>
      <w:r>
        <w:rPr>
          <w:sz w:val="24"/>
          <w:szCs w:val="24"/>
        </w:rPr>
        <w:t xml:space="preserve"> Example Letter Head</w:t>
      </w:r>
    </w:p>
    <w:p w:rsidR="00D416FF" w:rsidRDefault="00D416FF" w:rsidP="00D416FF">
      <w:pPr>
        <w:ind w:firstLine="720"/>
        <w:rPr>
          <w:sz w:val="24"/>
          <w:szCs w:val="24"/>
        </w:rPr>
      </w:pPr>
      <w:bookmarkStart w:id="0" w:name="_GoBack"/>
      <w:bookmarkEnd w:id="0"/>
    </w:p>
    <w:p w:rsidR="00127ADB" w:rsidRDefault="00127ADB" w:rsidP="00620205">
      <w:pPr>
        <w:ind w:firstLine="720"/>
        <w:rPr>
          <w:sz w:val="24"/>
          <w:szCs w:val="24"/>
        </w:rPr>
      </w:pPr>
    </w:p>
    <w:p w:rsidR="00620205" w:rsidRPr="00A86214" w:rsidRDefault="00620205" w:rsidP="000308A1">
      <w:pPr>
        <w:rPr>
          <w:sz w:val="24"/>
          <w:szCs w:val="24"/>
        </w:rPr>
      </w:pPr>
      <w:r>
        <w:rPr>
          <w:sz w:val="24"/>
          <w:szCs w:val="24"/>
        </w:rPr>
        <w:tab/>
      </w:r>
    </w:p>
    <w:p w:rsidR="008B3D01" w:rsidRPr="00AF62AB" w:rsidRDefault="008B3D01" w:rsidP="008B3D01">
      <w:pPr>
        <w:rPr>
          <w:sz w:val="24"/>
          <w:szCs w:val="24"/>
        </w:rPr>
      </w:pPr>
    </w:p>
    <w:p w:rsidR="00AD2EEC" w:rsidRPr="00AD2EEC" w:rsidRDefault="008B3D01" w:rsidP="00430556">
      <w:pPr>
        <w:rPr>
          <w:sz w:val="24"/>
          <w:szCs w:val="24"/>
        </w:rPr>
      </w:pPr>
      <w:r>
        <w:rPr>
          <w:sz w:val="24"/>
          <w:szCs w:val="24"/>
        </w:rPr>
        <w:br w:type="page"/>
      </w:r>
    </w:p>
    <w:p w:rsidR="00DA7570" w:rsidRPr="00DA7570" w:rsidRDefault="00DA7570" w:rsidP="00DA7570">
      <w:pPr>
        <w:pStyle w:val="ListParagraph"/>
        <w:tabs>
          <w:tab w:val="left" w:pos="1080"/>
        </w:tabs>
        <w:spacing w:after="200" w:line="276" w:lineRule="auto"/>
        <w:ind w:left="0"/>
        <w:contextualSpacing/>
        <w:rPr>
          <w:rFonts w:asciiTheme="minorHAnsi" w:hAnsiTheme="minorHAnsi" w:cs="Courier New"/>
          <w:u w:val="single"/>
        </w:rPr>
      </w:pPr>
      <w:r w:rsidRPr="00DA7570">
        <w:rPr>
          <w:rFonts w:asciiTheme="minorHAnsi" w:hAnsiTheme="minorHAnsi" w:cs="Courier New"/>
          <w:u w:val="single"/>
        </w:rPr>
        <w:lastRenderedPageBreak/>
        <w:t xml:space="preserve">Types of Calibration: </w:t>
      </w:r>
    </w:p>
    <w:p w:rsidR="00DA7570" w:rsidRPr="00DA7570" w:rsidRDefault="00DA7570" w:rsidP="00DA7570">
      <w:pPr>
        <w:pStyle w:val="ListParagraph"/>
        <w:tabs>
          <w:tab w:val="left" w:pos="1080"/>
        </w:tabs>
        <w:spacing w:after="200" w:line="276" w:lineRule="auto"/>
        <w:ind w:left="0"/>
        <w:contextualSpacing/>
        <w:rPr>
          <w:rFonts w:asciiTheme="minorHAnsi" w:hAnsiTheme="minorHAnsi" w:cs="Courier New"/>
        </w:rPr>
      </w:pPr>
    </w:p>
    <w:p w:rsidR="00DA7570" w:rsidRPr="00DA7570" w:rsidRDefault="00DA7570" w:rsidP="00DA7570">
      <w:pPr>
        <w:pStyle w:val="ListParagraph"/>
        <w:numPr>
          <w:ilvl w:val="0"/>
          <w:numId w:val="29"/>
        </w:numPr>
        <w:tabs>
          <w:tab w:val="left" w:pos="720"/>
        </w:tabs>
        <w:spacing w:after="200" w:line="276" w:lineRule="auto"/>
        <w:ind w:left="720"/>
        <w:contextualSpacing/>
        <w:rPr>
          <w:rFonts w:asciiTheme="minorHAnsi" w:hAnsiTheme="minorHAnsi" w:cs="Courier New"/>
        </w:rPr>
      </w:pPr>
      <w:r w:rsidRPr="00DA7570">
        <w:rPr>
          <w:rFonts w:asciiTheme="minorHAnsi" w:hAnsiTheme="minorHAnsi" w:cs="Courier New"/>
        </w:rPr>
        <w:t>There are four types of calibration. Calibrated items are instruments with all ranges and functions that have applicable tolerances.</w:t>
      </w:r>
    </w:p>
    <w:p w:rsidR="00DA7570" w:rsidRPr="00DA7570" w:rsidRDefault="00DA7570" w:rsidP="00DA7570">
      <w:pPr>
        <w:pStyle w:val="ListParagraph"/>
        <w:tabs>
          <w:tab w:val="left" w:pos="1080"/>
        </w:tabs>
        <w:ind w:left="1800"/>
        <w:rPr>
          <w:rFonts w:asciiTheme="minorHAnsi" w:hAnsiTheme="minorHAnsi" w:cs="Courier New"/>
        </w:rPr>
      </w:pPr>
    </w:p>
    <w:p w:rsidR="00DA7570" w:rsidRPr="00DA7570" w:rsidRDefault="00DA7570" w:rsidP="00DA7570">
      <w:pPr>
        <w:pStyle w:val="ListParagraph"/>
        <w:numPr>
          <w:ilvl w:val="0"/>
          <w:numId w:val="28"/>
        </w:numPr>
        <w:tabs>
          <w:tab w:val="left" w:pos="1080"/>
        </w:tabs>
        <w:spacing w:after="200" w:line="276" w:lineRule="auto"/>
        <w:contextualSpacing/>
        <w:rPr>
          <w:rFonts w:asciiTheme="minorHAnsi" w:hAnsiTheme="minorHAnsi" w:cs="Courier New"/>
        </w:rPr>
      </w:pPr>
      <w:r w:rsidRPr="00DA7570">
        <w:rPr>
          <w:rFonts w:asciiTheme="minorHAnsi" w:hAnsiTheme="minorHAnsi" w:cs="Courier New"/>
        </w:rPr>
        <w:t>FULL CALIBRATION – Items that to be accurate across the full range of measurements.</w:t>
      </w:r>
    </w:p>
    <w:p w:rsidR="00DA7570" w:rsidRPr="00DA7570" w:rsidRDefault="00DA7570" w:rsidP="00DA7570">
      <w:pPr>
        <w:pStyle w:val="ListParagraph"/>
        <w:tabs>
          <w:tab w:val="left" w:pos="1080"/>
        </w:tabs>
        <w:ind w:left="1800"/>
        <w:rPr>
          <w:rFonts w:asciiTheme="minorHAnsi" w:hAnsiTheme="minorHAnsi" w:cs="Courier New"/>
        </w:rPr>
      </w:pPr>
    </w:p>
    <w:p w:rsidR="00DA7570" w:rsidRPr="00DA7570" w:rsidRDefault="00DA7570" w:rsidP="00DA7570">
      <w:pPr>
        <w:pStyle w:val="ListParagraph"/>
        <w:numPr>
          <w:ilvl w:val="0"/>
          <w:numId w:val="28"/>
        </w:numPr>
        <w:tabs>
          <w:tab w:val="left" w:pos="1080"/>
        </w:tabs>
        <w:spacing w:after="200" w:line="276" w:lineRule="auto"/>
        <w:contextualSpacing/>
        <w:rPr>
          <w:rFonts w:asciiTheme="minorHAnsi" w:hAnsiTheme="minorHAnsi" w:cs="Courier New"/>
        </w:rPr>
      </w:pPr>
      <w:r w:rsidRPr="00DA7570">
        <w:rPr>
          <w:rFonts w:asciiTheme="minorHAnsi" w:hAnsiTheme="minorHAnsi" w:cs="Courier New"/>
        </w:rPr>
        <w:t>SPECIAL CALIBRATION – Items that to be accurate across only a portion of measurements.</w:t>
      </w:r>
    </w:p>
    <w:p w:rsidR="00DA7570" w:rsidRPr="00DA7570" w:rsidRDefault="00DA7570" w:rsidP="00DA7570">
      <w:pPr>
        <w:pStyle w:val="ListParagraph"/>
        <w:rPr>
          <w:rFonts w:asciiTheme="minorHAnsi" w:hAnsiTheme="minorHAnsi" w:cs="Courier New"/>
        </w:rPr>
      </w:pPr>
    </w:p>
    <w:p w:rsidR="00DA7570" w:rsidRPr="00DA7570" w:rsidRDefault="00DA7570" w:rsidP="00DA7570">
      <w:pPr>
        <w:pStyle w:val="ListParagraph"/>
        <w:numPr>
          <w:ilvl w:val="0"/>
          <w:numId w:val="28"/>
        </w:numPr>
        <w:tabs>
          <w:tab w:val="left" w:pos="1080"/>
        </w:tabs>
        <w:spacing w:after="200" w:line="276" w:lineRule="auto"/>
        <w:contextualSpacing/>
        <w:rPr>
          <w:rFonts w:asciiTheme="minorHAnsi" w:hAnsiTheme="minorHAnsi" w:cs="Courier New"/>
        </w:rPr>
      </w:pPr>
      <w:r w:rsidRPr="00DA7570">
        <w:rPr>
          <w:rFonts w:asciiTheme="minorHAnsi" w:hAnsiTheme="minorHAnsi" w:cs="Courier New"/>
        </w:rPr>
        <w:t>CAL NOT REQUIRED – Items that are used for other than quality or quantity measurements and therefore the accuracy of the measurement is not a factor.</w:t>
      </w:r>
    </w:p>
    <w:p w:rsidR="00DA7570" w:rsidRPr="00DA7570" w:rsidRDefault="00DA7570" w:rsidP="00DA7570">
      <w:pPr>
        <w:pStyle w:val="ListParagraph"/>
        <w:rPr>
          <w:rFonts w:asciiTheme="minorHAnsi" w:hAnsiTheme="minorHAnsi" w:cs="Courier New"/>
        </w:rPr>
      </w:pPr>
    </w:p>
    <w:p w:rsidR="00DA7570" w:rsidRPr="00DA7570" w:rsidRDefault="00DA7570" w:rsidP="00DA7570">
      <w:pPr>
        <w:pStyle w:val="ListParagraph"/>
        <w:numPr>
          <w:ilvl w:val="0"/>
          <w:numId w:val="28"/>
        </w:numPr>
        <w:tabs>
          <w:tab w:val="left" w:pos="1080"/>
        </w:tabs>
        <w:spacing w:after="200" w:line="276" w:lineRule="auto"/>
        <w:contextualSpacing/>
        <w:rPr>
          <w:rFonts w:asciiTheme="minorHAnsi" w:hAnsiTheme="minorHAnsi" w:cs="Courier New"/>
        </w:rPr>
      </w:pPr>
      <w:r w:rsidRPr="00DA7570">
        <w:rPr>
          <w:rFonts w:asciiTheme="minorHAnsi" w:hAnsiTheme="minorHAnsi" w:cs="Courier New"/>
        </w:rPr>
        <w:t>INACTIVE – Items which will not be used to make measurements of a non-critical nature or for instructional purposes only. Some instructional equipment will require full/special calibration. These items will not be calibrated within specific timeframes.</w:t>
      </w:r>
    </w:p>
    <w:p w:rsidR="00DA7570" w:rsidRPr="00DA7570" w:rsidRDefault="00DA7570" w:rsidP="00DA7570">
      <w:pPr>
        <w:pStyle w:val="ListParagraph"/>
        <w:ind w:left="0"/>
        <w:rPr>
          <w:rFonts w:asciiTheme="minorHAnsi" w:hAnsiTheme="minorHAnsi" w:cs="Courier New"/>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u w:val="single"/>
        </w:rPr>
      </w:pPr>
      <w:r w:rsidRPr="00DA7570">
        <w:rPr>
          <w:rFonts w:asciiTheme="minorHAnsi" w:hAnsiTheme="minorHAnsi" w:cs="Courier New"/>
          <w:u w:val="single"/>
        </w:rPr>
        <w:t>Four steps in the Calibration Control Program:</w:t>
      </w: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u w:val="single"/>
        </w:rPr>
      </w:pPr>
    </w:p>
    <w:p w:rsidR="00DA7570" w:rsidRPr="00DA7570" w:rsidRDefault="00DA7570" w:rsidP="00DA7570">
      <w:pPr>
        <w:pStyle w:val="ListParagraph"/>
        <w:numPr>
          <w:ilvl w:val="0"/>
          <w:numId w:val="27"/>
        </w:numPr>
        <w:tabs>
          <w:tab w:val="left" w:pos="720"/>
        </w:tabs>
        <w:spacing w:after="200" w:line="276" w:lineRule="auto"/>
        <w:contextualSpacing/>
        <w:rPr>
          <w:rFonts w:asciiTheme="minorHAnsi" w:hAnsiTheme="minorHAnsi" w:cs="Courier New"/>
        </w:rPr>
      </w:pPr>
      <w:r w:rsidRPr="00DA7570">
        <w:rPr>
          <w:rFonts w:asciiTheme="minorHAnsi" w:hAnsiTheme="minorHAnsi" w:cs="Courier New"/>
          <w:b/>
        </w:rPr>
        <w:t xml:space="preserve">IDENTIFY:  </w:t>
      </w:r>
      <w:r w:rsidRPr="00DA7570">
        <w:rPr>
          <w:rFonts w:asciiTheme="minorHAnsi" w:hAnsiTheme="minorHAnsi" w:cs="Courier New"/>
        </w:rPr>
        <w:t xml:space="preserve">Using T/E and Allowance List, identify all TMDE. Using these two reports and </w:t>
      </w:r>
      <w:proofErr w:type="spellStart"/>
      <w:r w:rsidRPr="00DA7570">
        <w:rPr>
          <w:rFonts w:asciiTheme="minorHAnsi" w:hAnsiTheme="minorHAnsi" w:cs="Courier New"/>
        </w:rPr>
        <w:t>FedLog</w:t>
      </w:r>
      <w:proofErr w:type="spellEnd"/>
      <w:r w:rsidRPr="00DA7570">
        <w:rPr>
          <w:rFonts w:asciiTheme="minorHAnsi" w:hAnsiTheme="minorHAnsi" w:cs="Courier New"/>
        </w:rPr>
        <w:t>, check for Operational Test Code 3, an indicator of required calibration. TI-4733-15/1 also provides guidance on required calibration items.</w:t>
      </w:r>
    </w:p>
    <w:p w:rsidR="00DA7570" w:rsidRPr="00DA7570" w:rsidRDefault="00DA7570" w:rsidP="00DA7570">
      <w:pPr>
        <w:pStyle w:val="ListParagraph"/>
        <w:tabs>
          <w:tab w:val="left" w:pos="1440"/>
        </w:tabs>
        <w:ind w:left="1800"/>
        <w:rPr>
          <w:rFonts w:asciiTheme="minorHAnsi" w:hAnsiTheme="minorHAnsi" w:cs="Courier New"/>
        </w:rPr>
      </w:pPr>
    </w:p>
    <w:p w:rsidR="00DA7570" w:rsidRPr="00DA7570" w:rsidRDefault="00DA7570" w:rsidP="00DA7570">
      <w:pPr>
        <w:pStyle w:val="ListParagraph"/>
        <w:numPr>
          <w:ilvl w:val="0"/>
          <w:numId w:val="27"/>
        </w:numPr>
        <w:tabs>
          <w:tab w:val="left" w:pos="720"/>
        </w:tabs>
        <w:spacing w:after="200" w:line="276" w:lineRule="auto"/>
        <w:contextualSpacing/>
        <w:rPr>
          <w:rFonts w:asciiTheme="minorHAnsi" w:hAnsiTheme="minorHAnsi" w:cs="Courier New"/>
        </w:rPr>
      </w:pPr>
      <w:r w:rsidRPr="00DA7570">
        <w:rPr>
          <w:rFonts w:asciiTheme="minorHAnsi" w:hAnsiTheme="minorHAnsi" w:cs="Courier New"/>
          <w:b/>
        </w:rPr>
        <w:t>LOCATE:</w:t>
      </w:r>
      <w:r w:rsidRPr="00DA7570">
        <w:rPr>
          <w:rFonts w:asciiTheme="minorHAnsi" w:hAnsiTheme="minorHAnsi" w:cs="Courier New"/>
        </w:rPr>
        <w:t xml:space="preserve">  Check with Supply to see who owns specific calibration items. Once determined where items are, establish a calibrations Control Record per TM-4700-15/1. Many calibration items are components of end items.</w:t>
      </w:r>
    </w:p>
    <w:p w:rsidR="00DA7570" w:rsidRPr="00DA7570" w:rsidRDefault="00DA7570" w:rsidP="00DA7570">
      <w:pPr>
        <w:pStyle w:val="ListParagraph"/>
        <w:rPr>
          <w:rFonts w:asciiTheme="minorHAnsi" w:hAnsiTheme="minorHAnsi" w:cs="Courier New"/>
        </w:rPr>
      </w:pPr>
    </w:p>
    <w:p w:rsidR="00DA7570" w:rsidRPr="00DA7570" w:rsidRDefault="00DA7570" w:rsidP="00DA7570">
      <w:pPr>
        <w:pStyle w:val="ListParagraph"/>
        <w:numPr>
          <w:ilvl w:val="0"/>
          <w:numId w:val="27"/>
        </w:numPr>
        <w:tabs>
          <w:tab w:val="left" w:pos="720"/>
          <w:tab w:val="left" w:pos="1440"/>
        </w:tabs>
        <w:spacing w:after="200" w:line="276" w:lineRule="auto"/>
        <w:contextualSpacing/>
        <w:rPr>
          <w:rFonts w:asciiTheme="minorHAnsi" w:hAnsiTheme="minorHAnsi" w:cs="Courier New"/>
        </w:rPr>
      </w:pPr>
      <w:r w:rsidRPr="00DA7570">
        <w:rPr>
          <w:rFonts w:asciiTheme="minorHAnsi" w:hAnsiTheme="minorHAnsi" w:cs="Courier New"/>
          <w:b/>
        </w:rPr>
        <w:t>INVENTORY:</w:t>
      </w:r>
      <w:r w:rsidRPr="00DA7570">
        <w:rPr>
          <w:rFonts w:asciiTheme="minorHAnsi" w:hAnsiTheme="minorHAnsi" w:cs="Courier New"/>
        </w:rPr>
        <w:t xml:space="preserve">  Once items are located, MMO and Maintenance Rep will match the item, calibrations record, T/E, and Allowance to ensure all is accounted for and complete.</w:t>
      </w:r>
    </w:p>
    <w:p w:rsidR="00DA7570" w:rsidRPr="00DA7570" w:rsidRDefault="00DA7570" w:rsidP="00DA7570">
      <w:pPr>
        <w:pStyle w:val="ListParagraph"/>
        <w:rPr>
          <w:rFonts w:asciiTheme="minorHAnsi" w:hAnsiTheme="minorHAnsi" w:cs="Courier New"/>
        </w:rPr>
      </w:pPr>
    </w:p>
    <w:p w:rsidR="00DA7570" w:rsidRPr="00DA7570" w:rsidRDefault="00DA7570" w:rsidP="00DA7570">
      <w:pPr>
        <w:pStyle w:val="ListParagraph"/>
        <w:numPr>
          <w:ilvl w:val="0"/>
          <w:numId w:val="27"/>
        </w:numPr>
        <w:tabs>
          <w:tab w:val="left" w:pos="720"/>
        </w:tabs>
        <w:spacing w:after="200" w:line="276" w:lineRule="auto"/>
        <w:contextualSpacing/>
        <w:rPr>
          <w:rFonts w:asciiTheme="minorHAnsi" w:hAnsiTheme="minorHAnsi" w:cs="Courier New"/>
        </w:rPr>
      </w:pPr>
      <w:r w:rsidRPr="00DA7570">
        <w:rPr>
          <w:rFonts w:asciiTheme="minorHAnsi" w:hAnsiTheme="minorHAnsi" w:cs="Courier New"/>
          <w:b/>
        </w:rPr>
        <w:t>SCHEDULE:</w:t>
      </w:r>
      <w:r w:rsidRPr="00DA7570">
        <w:rPr>
          <w:rFonts w:asciiTheme="minorHAnsi" w:hAnsiTheme="minorHAnsi" w:cs="Courier New"/>
        </w:rPr>
        <w:t xml:space="preserve">  End result is establishing Calibration Due Dates. It is the section responsibility that adequate items are on hand to accomplish its mission.</w:t>
      </w: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u w:val="single"/>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u w:val="single"/>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u w:val="single"/>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u w:val="single"/>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u w:val="single"/>
        </w:rPr>
      </w:pPr>
    </w:p>
    <w:p w:rsidR="00DA7570" w:rsidRPr="00DA7570" w:rsidRDefault="00DA7570" w:rsidP="00DA7570">
      <w:pPr>
        <w:rPr>
          <w:sz w:val="24"/>
          <w:szCs w:val="24"/>
          <w:u w:val="single"/>
        </w:rPr>
      </w:pPr>
      <w:r w:rsidRPr="00DA7570">
        <w:rPr>
          <w:sz w:val="24"/>
          <w:szCs w:val="24"/>
          <w:u w:val="single"/>
        </w:rPr>
        <w:lastRenderedPageBreak/>
        <w:t>Condition Codes:</w:t>
      </w:r>
    </w:p>
    <w:p w:rsidR="00DA7570" w:rsidRPr="00DA7570" w:rsidRDefault="00DA7570" w:rsidP="00DA7570">
      <w:pPr>
        <w:numPr>
          <w:ilvl w:val="0"/>
          <w:numId w:val="26"/>
        </w:numPr>
        <w:spacing w:after="0" w:line="240" w:lineRule="auto"/>
        <w:rPr>
          <w:sz w:val="24"/>
          <w:szCs w:val="24"/>
        </w:rPr>
      </w:pPr>
      <w:r w:rsidRPr="00DA7570">
        <w:rPr>
          <w:b/>
          <w:sz w:val="24"/>
          <w:szCs w:val="24"/>
        </w:rPr>
        <w:t>A:</w:t>
      </w:r>
      <w:r w:rsidRPr="00DA7570">
        <w:rPr>
          <w:sz w:val="24"/>
          <w:szCs w:val="24"/>
        </w:rPr>
        <w:t xml:space="preserve"> Serviceable – issuable without qualification. New, used, repaired, or reconditioned material which is serviceable and issuable to all customers without limitation or restriction.</w:t>
      </w:r>
    </w:p>
    <w:p w:rsidR="00DA7570" w:rsidRPr="00DA7570" w:rsidRDefault="00DA7570" w:rsidP="00DA7570">
      <w:pPr>
        <w:numPr>
          <w:ilvl w:val="0"/>
          <w:numId w:val="26"/>
        </w:numPr>
        <w:spacing w:after="0" w:line="240" w:lineRule="auto"/>
        <w:rPr>
          <w:sz w:val="24"/>
          <w:szCs w:val="24"/>
        </w:rPr>
      </w:pPr>
      <w:r w:rsidRPr="00DA7570">
        <w:rPr>
          <w:b/>
          <w:sz w:val="24"/>
          <w:szCs w:val="24"/>
        </w:rPr>
        <w:t>B:</w:t>
      </w:r>
      <w:r w:rsidRPr="00DA7570">
        <w:rPr>
          <w:sz w:val="24"/>
          <w:szCs w:val="24"/>
        </w:rPr>
        <w:t xml:space="preserve"> Serviceable – issuable with qualification. New, used, repaired, or reconditioned material which is serviceable and issuable for its intended purpose but is restricted from issue to specific units, activities, or geographical areas by reason of its limited usefulness or short service life expectancy.</w:t>
      </w:r>
    </w:p>
    <w:p w:rsidR="00DA7570" w:rsidRPr="00DA7570" w:rsidRDefault="00DA7570" w:rsidP="00DA7570">
      <w:pPr>
        <w:numPr>
          <w:ilvl w:val="0"/>
          <w:numId w:val="26"/>
        </w:numPr>
        <w:spacing w:after="0" w:line="240" w:lineRule="auto"/>
        <w:rPr>
          <w:b/>
          <w:sz w:val="24"/>
          <w:szCs w:val="24"/>
        </w:rPr>
      </w:pPr>
      <w:r w:rsidRPr="00DA7570">
        <w:rPr>
          <w:b/>
          <w:sz w:val="24"/>
          <w:szCs w:val="24"/>
        </w:rPr>
        <w:t xml:space="preserve">C: </w:t>
      </w:r>
      <w:r w:rsidRPr="00DA7570">
        <w:rPr>
          <w:sz w:val="24"/>
          <w:szCs w:val="24"/>
        </w:rPr>
        <w:t>Serviceable –</w:t>
      </w:r>
      <w:r w:rsidRPr="00DA7570">
        <w:rPr>
          <w:b/>
          <w:sz w:val="24"/>
          <w:szCs w:val="24"/>
        </w:rPr>
        <w:t xml:space="preserve"> </w:t>
      </w:r>
      <w:r w:rsidRPr="00DA7570">
        <w:rPr>
          <w:sz w:val="24"/>
          <w:szCs w:val="24"/>
        </w:rPr>
        <w:t>priority issue. Items which are serviceable and issuable</w:t>
      </w:r>
      <w:r w:rsidRPr="00DA7570">
        <w:rPr>
          <w:b/>
          <w:sz w:val="24"/>
          <w:szCs w:val="24"/>
        </w:rPr>
        <w:t xml:space="preserve"> </w:t>
      </w:r>
      <w:r w:rsidRPr="00DA7570">
        <w:rPr>
          <w:sz w:val="24"/>
          <w:szCs w:val="24"/>
        </w:rPr>
        <w:t>to selected customers but which must be issued before Condition Code A or B material to avoid loss as a usable asset.</w:t>
      </w:r>
    </w:p>
    <w:p w:rsidR="00DA7570" w:rsidRPr="00DA7570" w:rsidRDefault="00DA7570" w:rsidP="00DA7570">
      <w:pPr>
        <w:numPr>
          <w:ilvl w:val="0"/>
          <w:numId w:val="26"/>
        </w:numPr>
        <w:spacing w:after="0" w:line="240" w:lineRule="auto"/>
        <w:rPr>
          <w:sz w:val="24"/>
          <w:szCs w:val="24"/>
        </w:rPr>
      </w:pPr>
      <w:r w:rsidRPr="00DA7570">
        <w:rPr>
          <w:b/>
          <w:sz w:val="24"/>
          <w:szCs w:val="24"/>
        </w:rPr>
        <w:t xml:space="preserve">D: </w:t>
      </w:r>
      <w:r w:rsidRPr="00DA7570">
        <w:rPr>
          <w:sz w:val="24"/>
          <w:szCs w:val="24"/>
        </w:rPr>
        <w:t>Serviceable – test/modification. Serviceable material which requires test, alteration, modification, conversion or disassembly. This does not include items which must be inspected or tested immediately prior to issue.</w:t>
      </w:r>
    </w:p>
    <w:p w:rsidR="00DA7570" w:rsidRPr="00DA7570" w:rsidRDefault="00DA7570" w:rsidP="00DA7570">
      <w:pPr>
        <w:numPr>
          <w:ilvl w:val="0"/>
          <w:numId w:val="26"/>
        </w:numPr>
        <w:spacing w:after="0" w:line="240" w:lineRule="auto"/>
        <w:rPr>
          <w:sz w:val="24"/>
          <w:szCs w:val="24"/>
        </w:rPr>
      </w:pPr>
      <w:r w:rsidRPr="00DA7570">
        <w:rPr>
          <w:b/>
          <w:sz w:val="24"/>
          <w:szCs w:val="24"/>
        </w:rPr>
        <w:t>E:</w:t>
      </w:r>
      <w:r w:rsidRPr="00DA7570">
        <w:rPr>
          <w:sz w:val="24"/>
          <w:szCs w:val="24"/>
        </w:rPr>
        <w:t xml:space="preserve"> Unserviceable – limited restoration. Material involves only limited expense or effort to restore to serviceable condition, which is accomplished in the storage where the stock is located. Repair cost is 0-10% of the standard unit price.</w:t>
      </w:r>
    </w:p>
    <w:p w:rsidR="00DA7570" w:rsidRPr="00DA7570" w:rsidRDefault="00DA7570" w:rsidP="00DA7570">
      <w:pPr>
        <w:numPr>
          <w:ilvl w:val="0"/>
          <w:numId w:val="26"/>
        </w:numPr>
        <w:spacing w:after="0" w:line="240" w:lineRule="auto"/>
        <w:rPr>
          <w:sz w:val="24"/>
          <w:szCs w:val="24"/>
        </w:rPr>
      </w:pPr>
      <w:r w:rsidRPr="00DA7570">
        <w:rPr>
          <w:b/>
          <w:sz w:val="24"/>
          <w:szCs w:val="24"/>
        </w:rPr>
        <w:t>F:</w:t>
      </w:r>
      <w:r w:rsidRPr="00DA7570">
        <w:rPr>
          <w:sz w:val="24"/>
          <w:szCs w:val="24"/>
        </w:rPr>
        <w:t xml:space="preserve"> Unserviceable – repairable. Economically reparable material which requires repair, overhaul, or reconditioning and includes repairable items which are radioactively contaminated.</w:t>
      </w:r>
    </w:p>
    <w:p w:rsidR="00DA7570" w:rsidRPr="00DA7570" w:rsidRDefault="00DA7570" w:rsidP="00DA7570">
      <w:pPr>
        <w:numPr>
          <w:ilvl w:val="0"/>
          <w:numId w:val="26"/>
        </w:numPr>
        <w:spacing w:after="0" w:line="240" w:lineRule="auto"/>
        <w:rPr>
          <w:sz w:val="24"/>
          <w:szCs w:val="24"/>
        </w:rPr>
      </w:pPr>
      <w:r w:rsidRPr="00DA7570">
        <w:rPr>
          <w:b/>
          <w:sz w:val="24"/>
          <w:szCs w:val="24"/>
        </w:rPr>
        <w:t>G:</w:t>
      </w:r>
      <w:r w:rsidRPr="00DA7570">
        <w:rPr>
          <w:sz w:val="24"/>
          <w:szCs w:val="24"/>
        </w:rPr>
        <w:t xml:space="preserve"> Unserviceable – incomplete. Material requiring additional parts or components to complete the end item prior to issue.</w:t>
      </w:r>
    </w:p>
    <w:p w:rsidR="00DA7570" w:rsidRDefault="00DA7570" w:rsidP="00DA7570">
      <w:pPr>
        <w:numPr>
          <w:ilvl w:val="0"/>
          <w:numId w:val="26"/>
        </w:numPr>
        <w:spacing w:after="0" w:line="240" w:lineRule="auto"/>
        <w:rPr>
          <w:sz w:val="24"/>
          <w:szCs w:val="24"/>
        </w:rPr>
      </w:pPr>
      <w:r w:rsidRPr="00DA7570">
        <w:rPr>
          <w:b/>
          <w:sz w:val="24"/>
          <w:szCs w:val="24"/>
        </w:rPr>
        <w:t>H:</w:t>
      </w:r>
      <w:r w:rsidRPr="00DA7570">
        <w:rPr>
          <w:sz w:val="24"/>
          <w:szCs w:val="24"/>
        </w:rPr>
        <w:t xml:space="preserve"> Unserviceable – condemned. Material which has been determined to be unserviceable and uneconomical to repair. This includes items condemned items which are radioactively contaminated.</w:t>
      </w:r>
    </w:p>
    <w:p w:rsidR="00DA7570" w:rsidRPr="00DA7570" w:rsidRDefault="00DA7570" w:rsidP="00DA7570">
      <w:pPr>
        <w:spacing w:after="0" w:line="240" w:lineRule="auto"/>
        <w:rPr>
          <w:sz w:val="24"/>
          <w:szCs w:val="24"/>
        </w:rPr>
      </w:pPr>
    </w:p>
    <w:p w:rsidR="00DA7570" w:rsidRPr="00DA7570" w:rsidRDefault="00DA7570" w:rsidP="00DA7570">
      <w:pPr>
        <w:pStyle w:val="ListParagraph"/>
        <w:tabs>
          <w:tab w:val="left" w:pos="1440"/>
        </w:tabs>
        <w:spacing w:after="200" w:line="276" w:lineRule="auto"/>
        <w:ind w:left="0"/>
        <w:contextualSpacing/>
        <w:rPr>
          <w:rFonts w:asciiTheme="minorHAnsi" w:hAnsiTheme="minorHAnsi" w:cs="Courier New"/>
        </w:rPr>
      </w:pPr>
      <w:r w:rsidRPr="00DA7570">
        <w:rPr>
          <w:rFonts w:asciiTheme="minorHAnsi" w:hAnsiTheme="minorHAnsi" w:cs="Courier New"/>
          <w:u w:val="single"/>
        </w:rPr>
        <w:t>DRMO of Calibration Gear</w:t>
      </w:r>
      <w:r w:rsidRPr="00DA7570">
        <w:rPr>
          <w:rFonts w:asciiTheme="minorHAnsi" w:hAnsiTheme="minorHAnsi" w:cs="Courier New"/>
        </w:rPr>
        <w:t>:</w:t>
      </w:r>
    </w:p>
    <w:p w:rsidR="00DA7570" w:rsidRPr="00DA7570" w:rsidRDefault="00DA7570" w:rsidP="00DA7570">
      <w:pPr>
        <w:pStyle w:val="ListParagraph"/>
        <w:tabs>
          <w:tab w:val="left" w:pos="1440"/>
        </w:tabs>
        <w:spacing w:after="200" w:line="276" w:lineRule="auto"/>
        <w:ind w:left="0"/>
        <w:contextualSpacing/>
        <w:rPr>
          <w:rFonts w:asciiTheme="minorHAnsi" w:hAnsiTheme="minorHAnsi" w:cs="Courier New"/>
        </w:rPr>
      </w:pPr>
    </w:p>
    <w:p w:rsidR="00DA7570" w:rsidRPr="00DA7570" w:rsidRDefault="00DA7570" w:rsidP="00DA7570">
      <w:pPr>
        <w:pStyle w:val="ListParagraph"/>
        <w:numPr>
          <w:ilvl w:val="0"/>
          <w:numId w:val="26"/>
        </w:numPr>
        <w:tabs>
          <w:tab w:val="left" w:pos="720"/>
        </w:tabs>
        <w:spacing w:after="200" w:line="276" w:lineRule="auto"/>
        <w:contextualSpacing/>
        <w:rPr>
          <w:rFonts w:asciiTheme="minorHAnsi" w:hAnsiTheme="minorHAnsi" w:cs="Courier New"/>
        </w:rPr>
      </w:pPr>
      <w:r w:rsidRPr="00DA7570">
        <w:rPr>
          <w:rFonts w:asciiTheme="minorHAnsi" w:hAnsiTheme="minorHAnsi" w:cs="Courier New"/>
        </w:rPr>
        <w:t>Receive gear from the calibrations lab with the Rejection Tag attached to the gear.</w:t>
      </w:r>
    </w:p>
    <w:p w:rsidR="00DA7570" w:rsidRPr="00DA7570" w:rsidRDefault="00DA7570" w:rsidP="00DA7570">
      <w:pPr>
        <w:pStyle w:val="ListParagraph"/>
        <w:tabs>
          <w:tab w:val="left" w:pos="1440"/>
        </w:tabs>
        <w:spacing w:after="200" w:line="276" w:lineRule="auto"/>
        <w:ind w:left="0"/>
        <w:contextualSpacing/>
        <w:rPr>
          <w:rFonts w:asciiTheme="minorHAnsi" w:hAnsiTheme="minorHAnsi" w:cs="Courier New"/>
        </w:rPr>
      </w:pPr>
    </w:p>
    <w:p w:rsidR="00DA7570" w:rsidRPr="00DA7570" w:rsidRDefault="00DA7570" w:rsidP="00DA7570">
      <w:pPr>
        <w:pStyle w:val="ListParagraph"/>
        <w:numPr>
          <w:ilvl w:val="0"/>
          <w:numId w:val="26"/>
        </w:numPr>
        <w:tabs>
          <w:tab w:val="left" w:pos="720"/>
        </w:tabs>
        <w:spacing w:after="200" w:line="276" w:lineRule="auto"/>
        <w:contextualSpacing/>
        <w:rPr>
          <w:rFonts w:asciiTheme="minorHAnsi" w:hAnsiTheme="minorHAnsi" w:cs="Courier New"/>
        </w:rPr>
      </w:pPr>
      <w:r w:rsidRPr="00DA7570">
        <w:rPr>
          <w:rFonts w:asciiTheme="minorHAnsi" w:hAnsiTheme="minorHAnsi" w:cs="Courier New"/>
        </w:rPr>
        <w:t>Research NSN of gear and inform Supply that gear is to be taken to DRMO. Supply will then write up a DD 1348 to turn the gear into DRMO.</w:t>
      </w:r>
    </w:p>
    <w:p w:rsidR="00DA7570" w:rsidRPr="00DA7570" w:rsidRDefault="00DA7570" w:rsidP="00DA7570">
      <w:pPr>
        <w:pStyle w:val="ListParagraph"/>
        <w:tabs>
          <w:tab w:val="left" w:pos="1440"/>
        </w:tabs>
        <w:ind w:left="1800"/>
        <w:rPr>
          <w:rFonts w:asciiTheme="minorHAnsi" w:hAnsiTheme="minorHAnsi" w:cs="Courier New"/>
        </w:rPr>
      </w:pPr>
    </w:p>
    <w:p w:rsidR="00DA7570" w:rsidRPr="00DA7570" w:rsidRDefault="00DA7570" w:rsidP="00DA7570">
      <w:pPr>
        <w:pStyle w:val="ListParagraph"/>
        <w:numPr>
          <w:ilvl w:val="0"/>
          <w:numId w:val="26"/>
        </w:numPr>
        <w:tabs>
          <w:tab w:val="left" w:pos="720"/>
        </w:tabs>
        <w:spacing w:after="200" w:line="276" w:lineRule="auto"/>
        <w:contextualSpacing/>
        <w:rPr>
          <w:rFonts w:asciiTheme="minorHAnsi" w:hAnsiTheme="minorHAnsi" w:cs="Courier New"/>
        </w:rPr>
      </w:pPr>
      <w:r w:rsidRPr="00DA7570">
        <w:rPr>
          <w:rFonts w:asciiTheme="minorHAnsi" w:hAnsiTheme="minorHAnsi" w:cs="Courier New"/>
        </w:rPr>
        <w:t>A call is placed to DRMO to set up a date to turn in the gear. Once that date is set, the gear is set aside until is time to turn it in. Supply will be notified that the gear has been turned in via DD 1348 (COPY IS GIVEN TO SUPPLY). New gear is then ordered for the shop.</w:t>
      </w:r>
    </w:p>
    <w:p w:rsidR="00DA7570" w:rsidRPr="00DA7570" w:rsidRDefault="00DA7570" w:rsidP="00DA7570">
      <w:pPr>
        <w:pStyle w:val="ListParagraph"/>
        <w:rPr>
          <w:rFonts w:asciiTheme="minorHAnsi" w:hAnsiTheme="minorHAnsi" w:cs="Courier New"/>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r w:rsidRPr="00DA7570">
        <w:rPr>
          <w:rFonts w:asciiTheme="minorHAnsi" w:hAnsiTheme="minorHAnsi" w:cs="Courier New"/>
          <w:u w:val="single"/>
        </w:rPr>
        <w:t>Early or Late Calibration Request</w:t>
      </w:r>
      <w:r w:rsidRPr="00DA7570">
        <w:rPr>
          <w:rFonts w:asciiTheme="minorHAnsi" w:hAnsiTheme="minorHAnsi" w:cs="Courier New"/>
        </w:rPr>
        <w:t>:</w:t>
      </w:r>
    </w:p>
    <w:p w:rsidR="00DA7570" w:rsidRPr="00DA7570" w:rsidRDefault="00DA7570" w:rsidP="00DA7570">
      <w:pPr>
        <w:pStyle w:val="ListParagraph"/>
        <w:rPr>
          <w:rFonts w:asciiTheme="minorHAnsi" w:hAnsiTheme="minorHAnsi" w:cs="Courier New"/>
        </w:rPr>
      </w:pPr>
    </w:p>
    <w:p w:rsidR="00DA7570" w:rsidRPr="00DA7570" w:rsidRDefault="00DA7570" w:rsidP="00DA7570">
      <w:pPr>
        <w:pStyle w:val="ListParagraph"/>
        <w:numPr>
          <w:ilvl w:val="0"/>
          <w:numId w:val="26"/>
        </w:numPr>
        <w:tabs>
          <w:tab w:val="left" w:pos="720"/>
        </w:tabs>
        <w:spacing w:after="200" w:line="276" w:lineRule="auto"/>
        <w:contextualSpacing/>
        <w:rPr>
          <w:rFonts w:asciiTheme="minorHAnsi" w:hAnsiTheme="minorHAnsi" w:cs="Courier New"/>
        </w:rPr>
      </w:pPr>
      <w:r w:rsidRPr="00DA7570">
        <w:rPr>
          <w:rFonts w:asciiTheme="minorHAnsi" w:hAnsiTheme="minorHAnsi" w:cs="Courier New"/>
        </w:rPr>
        <w:t>When submitting an early calibration request, anything more than fifteen days prior to the calibration due date, the letter head provided should be utilized with the following information:</w:t>
      </w:r>
    </w:p>
    <w:p w:rsidR="00DA7570" w:rsidRPr="00DA7570" w:rsidRDefault="00DA7570" w:rsidP="00DA7570">
      <w:pPr>
        <w:pStyle w:val="ListParagraph"/>
        <w:rPr>
          <w:rFonts w:asciiTheme="minorHAnsi" w:hAnsiTheme="minorHAnsi" w:cs="Courier New"/>
        </w:rPr>
      </w:pPr>
    </w:p>
    <w:p w:rsidR="00DA7570" w:rsidRPr="00DA7570" w:rsidRDefault="00DA7570" w:rsidP="00DA7570">
      <w:pPr>
        <w:pStyle w:val="ListParagraph"/>
        <w:numPr>
          <w:ilvl w:val="1"/>
          <w:numId w:val="26"/>
        </w:numPr>
        <w:tabs>
          <w:tab w:val="left" w:pos="720"/>
        </w:tabs>
        <w:spacing w:after="200" w:line="276" w:lineRule="auto"/>
        <w:contextualSpacing/>
        <w:rPr>
          <w:rFonts w:asciiTheme="minorHAnsi" w:hAnsiTheme="minorHAnsi" w:cs="Courier New"/>
        </w:rPr>
      </w:pPr>
      <w:r w:rsidRPr="00DA7570">
        <w:rPr>
          <w:rFonts w:asciiTheme="minorHAnsi" w:hAnsiTheme="minorHAnsi" w:cs="Courier New"/>
          <w:b/>
        </w:rPr>
        <w:t>16-30</w:t>
      </w:r>
      <w:r w:rsidRPr="00DA7570">
        <w:rPr>
          <w:rFonts w:asciiTheme="minorHAnsi" w:hAnsiTheme="minorHAnsi" w:cs="Courier New"/>
        </w:rPr>
        <w:t xml:space="preserve"> days prior, the letter must be signed by a Staff Non-Commissioned Officer (SNCO)</w:t>
      </w: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p>
    <w:p w:rsidR="00DA7570" w:rsidRPr="00DA7570" w:rsidRDefault="00DA7570" w:rsidP="00DA7570">
      <w:pPr>
        <w:pStyle w:val="ListParagraph"/>
        <w:numPr>
          <w:ilvl w:val="1"/>
          <w:numId w:val="26"/>
        </w:numPr>
        <w:tabs>
          <w:tab w:val="left" w:pos="720"/>
        </w:tabs>
        <w:spacing w:after="200" w:line="276" w:lineRule="auto"/>
        <w:contextualSpacing/>
        <w:rPr>
          <w:rFonts w:asciiTheme="minorHAnsi" w:hAnsiTheme="minorHAnsi" w:cs="Courier New"/>
        </w:rPr>
      </w:pPr>
      <w:r w:rsidRPr="00DA7570">
        <w:rPr>
          <w:rFonts w:asciiTheme="minorHAnsi" w:hAnsiTheme="minorHAnsi" w:cs="Courier New"/>
          <w:b/>
        </w:rPr>
        <w:t>31</w:t>
      </w:r>
      <w:r w:rsidRPr="00DA7570">
        <w:rPr>
          <w:rFonts w:asciiTheme="minorHAnsi" w:hAnsiTheme="minorHAnsi" w:cs="Courier New"/>
        </w:rPr>
        <w:t xml:space="preserve"> days or more prior, the letter must be signed by the Staff Non-Commissioned Officer in Charge (SNCOIC)</w:t>
      </w:r>
    </w:p>
    <w:p w:rsidR="00DA7570" w:rsidRPr="00DA7570" w:rsidRDefault="00DA7570" w:rsidP="00DA7570">
      <w:pPr>
        <w:pStyle w:val="ListParagraph"/>
        <w:rPr>
          <w:rFonts w:asciiTheme="minorHAnsi" w:hAnsiTheme="minorHAnsi" w:cs="Courier New"/>
        </w:rPr>
      </w:pPr>
    </w:p>
    <w:p w:rsidR="00DA7570" w:rsidRPr="00DA7570" w:rsidRDefault="00DA7570" w:rsidP="00DA7570">
      <w:pPr>
        <w:pStyle w:val="ListParagraph"/>
        <w:numPr>
          <w:ilvl w:val="0"/>
          <w:numId w:val="30"/>
        </w:numPr>
        <w:tabs>
          <w:tab w:val="left" w:pos="720"/>
        </w:tabs>
        <w:spacing w:after="200" w:line="276" w:lineRule="auto"/>
        <w:contextualSpacing/>
        <w:rPr>
          <w:rFonts w:asciiTheme="minorHAnsi" w:hAnsiTheme="minorHAnsi" w:cs="Courier New"/>
        </w:rPr>
      </w:pPr>
      <w:r w:rsidRPr="00DA7570">
        <w:rPr>
          <w:rFonts w:asciiTheme="minorHAnsi" w:hAnsiTheme="minorHAnsi" w:cs="Courier New"/>
        </w:rPr>
        <w:t>When submitting a late calibration request, anything more than fifteen days after  the calibration due date, the letter head provided should be utilized with the following information:</w:t>
      </w: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p>
    <w:p w:rsidR="00DA7570" w:rsidRPr="00DA7570" w:rsidRDefault="00DA7570" w:rsidP="00DA7570">
      <w:pPr>
        <w:pStyle w:val="ListParagraph"/>
        <w:numPr>
          <w:ilvl w:val="0"/>
          <w:numId w:val="31"/>
        </w:numPr>
        <w:tabs>
          <w:tab w:val="left" w:pos="720"/>
        </w:tabs>
        <w:spacing w:after="200" w:line="276" w:lineRule="auto"/>
        <w:contextualSpacing/>
        <w:rPr>
          <w:rFonts w:asciiTheme="minorHAnsi" w:hAnsiTheme="minorHAnsi" w:cs="Courier New"/>
        </w:rPr>
      </w:pPr>
      <w:r w:rsidRPr="00DA7570">
        <w:rPr>
          <w:rFonts w:asciiTheme="minorHAnsi" w:hAnsiTheme="minorHAnsi" w:cs="Courier New"/>
          <w:b/>
        </w:rPr>
        <w:t>16-30</w:t>
      </w:r>
      <w:r w:rsidRPr="00DA7570">
        <w:rPr>
          <w:rFonts w:asciiTheme="minorHAnsi" w:hAnsiTheme="minorHAnsi" w:cs="Courier New"/>
        </w:rPr>
        <w:t xml:space="preserve"> days after, the letter must be signed by a SNCO</w:t>
      </w: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p>
    <w:p w:rsidR="00DA7570" w:rsidRPr="00DA7570" w:rsidRDefault="00DA7570" w:rsidP="00DA7570">
      <w:pPr>
        <w:pStyle w:val="ListParagraph"/>
        <w:numPr>
          <w:ilvl w:val="0"/>
          <w:numId w:val="31"/>
        </w:numPr>
        <w:tabs>
          <w:tab w:val="left" w:pos="720"/>
        </w:tabs>
        <w:spacing w:after="200" w:line="276" w:lineRule="auto"/>
        <w:contextualSpacing/>
        <w:rPr>
          <w:rFonts w:asciiTheme="minorHAnsi" w:hAnsiTheme="minorHAnsi" w:cs="Courier New"/>
        </w:rPr>
      </w:pPr>
      <w:r w:rsidRPr="00DA7570">
        <w:rPr>
          <w:rFonts w:asciiTheme="minorHAnsi" w:hAnsiTheme="minorHAnsi" w:cs="Courier New"/>
          <w:b/>
        </w:rPr>
        <w:t>31-60</w:t>
      </w:r>
      <w:r w:rsidRPr="00DA7570">
        <w:rPr>
          <w:rFonts w:asciiTheme="minorHAnsi" w:hAnsiTheme="minorHAnsi" w:cs="Courier New"/>
        </w:rPr>
        <w:t xml:space="preserve"> days after, the letter must be signed by the SNCOIC</w:t>
      </w:r>
    </w:p>
    <w:p w:rsidR="00DA7570" w:rsidRPr="00DA7570" w:rsidRDefault="00DA7570" w:rsidP="00DA7570">
      <w:pPr>
        <w:pStyle w:val="ListParagraph"/>
        <w:tabs>
          <w:tab w:val="left" w:pos="720"/>
        </w:tabs>
        <w:spacing w:after="200" w:line="276" w:lineRule="auto"/>
        <w:ind w:left="0"/>
        <w:contextualSpacing/>
        <w:rPr>
          <w:rFonts w:asciiTheme="minorHAnsi" w:hAnsiTheme="minorHAnsi" w:cs="Courier New"/>
        </w:rPr>
      </w:pPr>
    </w:p>
    <w:p w:rsidR="0019117B" w:rsidRPr="00DA7570" w:rsidRDefault="00DA7570" w:rsidP="00DA7570">
      <w:pPr>
        <w:pStyle w:val="ListParagraph"/>
        <w:numPr>
          <w:ilvl w:val="0"/>
          <w:numId w:val="31"/>
        </w:numPr>
        <w:tabs>
          <w:tab w:val="left" w:pos="720"/>
        </w:tabs>
        <w:spacing w:after="200" w:line="276" w:lineRule="auto"/>
        <w:contextualSpacing/>
        <w:rPr>
          <w:rFonts w:asciiTheme="minorHAnsi" w:hAnsiTheme="minorHAnsi" w:cs="Courier New"/>
        </w:rPr>
      </w:pPr>
      <w:r w:rsidRPr="00DA7570">
        <w:rPr>
          <w:rFonts w:asciiTheme="minorHAnsi" w:hAnsiTheme="minorHAnsi" w:cs="Courier New"/>
          <w:b/>
        </w:rPr>
        <w:t>61</w:t>
      </w:r>
      <w:r w:rsidRPr="00DA7570">
        <w:rPr>
          <w:rFonts w:asciiTheme="minorHAnsi" w:hAnsiTheme="minorHAnsi" w:cs="Courier New"/>
        </w:rPr>
        <w:t xml:space="preserve"> days or more after, the letter must be signed by the MMO</w:t>
      </w:r>
    </w:p>
    <w:sectPr w:rsidR="0019117B" w:rsidRPr="00DA7570" w:rsidSect="009C41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27" w:rsidRDefault="00077227" w:rsidP="005D25CB">
      <w:pPr>
        <w:spacing w:after="0" w:line="240" w:lineRule="auto"/>
      </w:pPr>
      <w:r>
        <w:separator/>
      </w:r>
    </w:p>
  </w:endnote>
  <w:endnote w:type="continuationSeparator" w:id="0">
    <w:p w:rsidR="00077227" w:rsidRDefault="00077227" w:rsidP="005D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8B3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8B3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8B3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27" w:rsidRDefault="00077227" w:rsidP="005D25CB">
      <w:pPr>
        <w:spacing w:after="0" w:line="240" w:lineRule="auto"/>
      </w:pPr>
      <w:r>
        <w:separator/>
      </w:r>
    </w:p>
  </w:footnote>
  <w:footnote w:type="continuationSeparator" w:id="0">
    <w:p w:rsidR="00077227" w:rsidRDefault="00077227" w:rsidP="005D2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0772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47615" o:spid="_x0000_s2050" type="#_x0000_t75" style="position:absolute;margin-left:0;margin-top:0;width:467.9pt;height:584.9pt;z-index:-251657216;mso-position-horizontal:center;mso-position-horizontal-relative:margin;mso-position-vertical:center;mso-position-vertical-relative:margin" o:allowincell="f">
          <v:imagedata r:id="rId1" o:title="Unit Logo 25th Mar R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0772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47616" o:spid="_x0000_s2051" type="#_x0000_t75" style="position:absolute;margin-left:0;margin-top:0;width:467.9pt;height:584.9pt;z-index:-251656192;mso-position-horizontal:center;mso-position-horizontal-relative:margin;mso-position-vertical:center;mso-position-vertical-relative:margin" o:allowincell="f">
          <v:imagedata r:id="rId1" o:title="Unit Logo 25th Mar Re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1" w:rsidRDefault="000772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47614" o:spid="_x0000_s2049" type="#_x0000_t75" style="position:absolute;margin-left:0;margin-top:0;width:467.9pt;height:584.9pt;z-index:-251658240;mso-position-horizontal:center;mso-position-horizontal-relative:margin;mso-position-vertical:center;mso-position-vertical-relative:margin" o:allowincell="f">
          <v:imagedata r:id="rId1" o:title="Unit Logo 25th Mar R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EEC"/>
    <w:multiLevelType w:val="hybridMultilevel"/>
    <w:tmpl w:val="063A5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06226"/>
    <w:multiLevelType w:val="hybridMultilevel"/>
    <w:tmpl w:val="D62E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4490D"/>
    <w:multiLevelType w:val="hybridMultilevel"/>
    <w:tmpl w:val="9D4A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C12C2"/>
    <w:multiLevelType w:val="multilevel"/>
    <w:tmpl w:val="AC3C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47440"/>
    <w:multiLevelType w:val="hybridMultilevel"/>
    <w:tmpl w:val="39D63266"/>
    <w:lvl w:ilvl="0" w:tplc="CF38245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D40D2"/>
    <w:multiLevelType w:val="hybridMultilevel"/>
    <w:tmpl w:val="1FE04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958FE"/>
    <w:multiLevelType w:val="hybridMultilevel"/>
    <w:tmpl w:val="91027312"/>
    <w:lvl w:ilvl="0" w:tplc="04090001">
      <w:start w:val="1"/>
      <w:numFmt w:val="bullet"/>
      <w:lvlText w:val=""/>
      <w:lvlJc w:val="left"/>
      <w:pPr>
        <w:tabs>
          <w:tab w:val="num" w:pos="360"/>
        </w:tabs>
        <w:ind w:left="360" w:hanging="360"/>
      </w:pPr>
      <w:rPr>
        <w:rFonts w:ascii="Symbol" w:hAnsi="Symbol" w:hint="default"/>
      </w:rPr>
    </w:lvl>
    <w:lvl w:ilvl="1" w:tplc="725CA5BA">
      <w:start w:val="1"/>
      <w:numFmt w:val="decimal"/>
      <w:lvlText w:val="%2."/>
      <w:lvlJc w:val="left"/>
      <w:pPr>
        <w:tabs>
          <w:tab w:val="num" w:pos="1080"/>
        </w:tabs>
        <w:ind w:left="1080" w:hanging="360"/>
      </w:pPr>
      <w:rPr>
        <w:rFonts w:hint="default"/>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655582"/>
    <w:multiLevelType w:val="hybridMultilevel"/>
    <w:tmpl w:val="EF0EB572"/>
    <w:lvl w:ilvl="0" w:tplc="0409000F">
      <w:start w:val="1"/>
      <w:numFmt w:val="decimal"/>
      <w:lvlText w:val="%1."/>
      <w:lvlJc w:val="left"/>
      <w:pPr>
        <w:tabs>
          <w:tab w:val="num" w:pos="1080"/>
        </w:tabs>
        <w:ind w:left="1080" w:hanging="360"/>
      </w:pPr>
      <w:rPr>
        <w:rFonts w:hint="default"/>
      </w:rPr>
    </w:lvl>
    <w:lvl w:ilvl="1" w:tplc="725CA5BA">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875853"/>
    <w:multiLevelType w:val="hybridMultilevel"/>
    <w:tmpl w:val="6A606F0A"/>
    <w:lvl w:ilvl="0" w:tplc="CF38245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1155B"/>
    <w:multiLevelType w:val="hybridMultilevel"/>
    <w:tmpl w:val="0DAC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20CA9"/>
    <w:multiLevelType w:val="hybridMultilevel"/>
    <w:tmpl w:val="43F68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D64B0E"/>
    <w:multiLevelType w:val="hybridMultilevel"/>
    <w:tmpl w:val="D2A22962"/>
    <w:lvl w:ilvl="0" w:tplc="04090001">
      <w:start w:val="1"/>
      <w:numFmt w:val="bullet"/>
      <w:lvlText w:val=""/>
      <w:lvlJc w:val="left"/>
      <w:pPr>
        <w:tabs>
          <w:tab w:val="num" w:pos="360"/>
        </w:tabs>
        <w:ind w:left="360" w:hanging="360"/>
      </w:pPr>
      <w:rPr>
        <w:rFonts w:ascii="Symbol" w:hAnsi="Symbol" w:hint="default"/>
      </w:rPr>
    </w:lvl>
    <w:lvl w:ilvl="1" w:tplc="725CA5BA">
      <w:start w:val="1"/>
      <w:numFmt w:val="decimal"/>
      <w:lvlText w:val="%2."/>
      <w:lvlJc w:val="left"/>
      <w:pPr>
        <w:tabs>
          <w:tab w:val="num" w:pos="1080"/>
        </w:tabs>
        <w:ind w:left="1080" w:hanging="360"/>
      </w:pPr>
      <w:rPr>
        <w:rFonts w:hint="default"/>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5D2175"/>
    <w:multiLevelType w:val="hybridMultilevel"/>
    <w:tmpl w:val="8C10D01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A2797"/>
    <w:multiLevelType w:val="hybridMultilevel"/>
    <w:tmpl w:val="31B2D66E"/>
    <w:lvl w:ilvl="0" w:tplc="C1F2DF8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7C25561"/>
    <w:multiLevelType w:val="hybridMultilevel"/>
    <w:tmpl w:val="D5F485C8"/>
    <w:lvl w:ilvl="0" w:tplc="D1F2A5FA">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4C0D57"/>
    <w:multiLevelType w:val="hybridMultilevel"/>
    <w:tmpl w:val="26E81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456317"/>
    <w:multiLevelType w:val="hybridMultilevel"/>
    <w:tmpl w:val="96A26CDC"/>
    <w:lvl w:ilvl="0" w:tplc="04090001">
      <w:start w:val="1"/>
      <w:numFmt w:val="bullet"/>
      <w:lvlText w:val=""/>
      <w:lvlJc w:val="left"/>
      <w:pPr>
        <w:ind w:left="720" w:hanging="360"/>
      </w:pPr>
      <w:rPr>
        <w:rFonts w:ascii="Symbol" w:hAnsi="Symbol" w:hint="default"/>
        <w:sz w:val="24"/>
        <w:szCs w:val="24"/>
      </w:rPr>
    </w:lvl>
    <w:lvl w:ilvl="1" w:tplc="070E06F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D7BCD"/>
    <w:multiLevelType w:val="hybridMultilevel"/>
    <w:tmpl w:val="2558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27C0C"/>
    <w:multiLevelType w:val="hybridMultilevel"/>
    <w:tmpl w:val="C6566C70"/>
    <w:lvl w:ilvl="0" w:tplc="04090001">
      <w:start w:val="1"/>
      <w:numFmt w:val="bullet"/>
      <w:lvlText w:val=""/>
      <w:lvlJc w:val="left"/>
      <w:pPr>
        <w:tabs>
          <w:tab w:val="num" w:pos="720"/>
        </w:tabs>
        <w:ind w:left="720" w:hanging="360"/>
      </w:pPr>
      <w:rPr>
        <w:rFonts w:ascii="Symbol" w:hAnsi="Symbol" w:hint="default"/>
        <w:i w:val="0"/>
      </w:rPr>
    </w:lvl>
    <w:lvl w:ilvl="1" w:tplc="04090003">
      <w:start w:val="1"/>
      <w:numFmt w:val="bullet"/>
      <w:lvlText w:val="o"/>
      <w:lvlJc w:val="left"/>
      <w:pPr>
        <w:tabs>
          <w:tab w:val="num" w:pos="1080"/>
        </w:tabs>
        <w:ind w:left="1080" w:hanging="360"/>
      </w:pPr>
      <w:rPr>
        <w:rFonts w:ascii="Courier New" w:hAnsi="Courier New" w:cs="Courier New"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2875FA"/>
    <w:multiLevelType w:val="hybridMultilevel"/>
    <w:tmpl w:val="62143798"/>
    <w:lvl w:ilvl="0" w:tplc="04090001">
      <w:start w:val="1"/>
      <w:numFmt w:val="bullet"/>
      <w:lvlText w:val=""/>
      <w:lvlJc w:val="left"/>
      <w:pPr>
        <w:tabs>
          <w:tab w:val="num" w:pos="360"/>
        </w:tabs>
        <w:ind w:left="360" w:hanging="360"/>
      </w:pPr>
      <w:rPr>
        <w:rFonts w:ascii="Symbol" w:hAnsi="Symbol" w:hint="default"/>
      </w:rPr>
    </w:lvl>
    <w:lvl w:ilvl="1" w:tplc="CE9A7662">
      <w:start w:val="1"/>
      <w:numFmt w:val="decimal"/>
      <w:lvlText w:val="%2."/>
      <w:lvlJc w:val="left"/>
      <w:pPr>
        <w:tabs>
          <w:tab w:val="num" w:pos="1080"/>
        </w:tabs>
        <w:ind w:left="1080" w:hanging="360"/>
      </w:pPr>
      <w:rPr>
        <w:rFonts w:hint="default"/>
        <w:b w:val="0"/>
        <w:sz w:val="24"/>
        <w:szCs w:val="24"/>
      </w:rPr>
    </w:lvl>
    <w:lvl w:ilvl="2" w:tplc="763097A6">
      <w:start w:val="1"/>
      <w:numFmt w:val="bullet"/>
      <w:lvlText w:val=""/>
      <w:lvlJc w:val="left"/>
      <w:pPr>
        <w:tabs>
          <w:tab w:val="num" w:pos="1080"/>
        </w:tabs>
        <w:ind w:left="1080" w:hanging="360"/>
      </w:pPr>
      <w:rPr>
        <w:rFonts w:ascii="Wingdings" w:hAnsi="Wingdings" w:hint="default"/>
        <w:sz w:val="24"/>
        <w:szCs w:val="24"/>
      </w:rPr>
    </w:lvl>
    <w:lvl w:ilvl="3" w:tplc="90BE6E9C">
      <w:start w:val="2"/>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0BE46AB"/>
    <w:multiLevelType w:val="hybridMultilevel"/>
    <w:tmpl w:val="73D6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F6BE6"/>
    <w:multiLevelType w:val="hybridMultilevel"/>
    <w:tmpl w:val="583A14E0"/>
    <w:lvl w:ilvl="0" w:tplc="070E06F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A66D63"/>
    <w:multiLevelType w:val="hybridMultilevel"/>
    <w:tmpl w:val="FF1441DA"/>
    <w:lvl w:ilvl="0" w:tplc="BF362E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8B13AE"/>
    <w:multiLevelType w:val="hybridMultilevel"/>
    <w:tmpl w:val="8A5C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B7662D"/>
    <w:multiLevelType w:val="multilevel"/>
    <w:tmpl w:val="AC3C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237CB2"/>
    <w:multiLevelType w:val="hybridMultilevel"/>
    <w:tmpl w:val="3D94E4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57C49"/>
    <w:multiLevelType w:val="hybridMultilevel"/>
    <w:tmpl w:val="B3A8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F9177A"/>
    <w:multiLevelType w:val="hybridMultilevel"/>
    <w:tmpl w:val="1D7435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F0541A"/>
    <w:multiLevelType w:val="hybridMultilevel"/>
    <w:tmpl w:val="629EC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BCC2375"/>
    <w:multiLevelType w:val="hybridMultilevel"/>
    <w:tmpl w:val="D2A8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EB198A"/>
    <w:multiLevelType w:val="hybridMultilevel"/>
    <w:tmpl w:val="DBCCBFC0"/>
    <w:lvl w:ilvl="0" w:tplc="933E306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5"/>
  </w:num>
  <w:num w:numId="2">
    <w:abstractNumId w:val="5"/>
  </w:num>
  <w:num w:numId="3">
    <w:abstractNumId w:val="14"/>
  </w:num>
  <w:num w:numId="4">
    <w:abstractNumId w:val="22"/>
  </w:num>
  <w:num w:numId="5">
    <w:abstractNumId w:val="25"/>
  </w:num>
  <w:num w:numId="6">
    <w:abstractNumId w:val="1"/>
  </w:num>
  <w:num w:numId="7">
    <w:abstractNumId w:val="3"/>
  </w:num>
  <w:num w:numId="8">
    <w:abstractNumId w:val="24"/>
  </w:num>
  <w:num w:numId="9">
    <w:abstractNumId w:val="17"/>
  </w:num>
  <w:num w:numId="10">
    <w:abstractNumId w:val="7"/>
  </w:num>
  <w:num w:numId="11">
    <w:abstractNumId w:val="23"/>
  </w:num>
  <w:num w:numId="12">
    <w:abstractNumId w:val="12"/>
  </w:num>
  <w:num w:numId="13">
    <w:abstractNumId w:val="19"/>
  </w:num>
  <w:num w:numId="14">
    <w:abstractNumId w:val="4"/>
  </w:num>
  <w:num w:numId="15">
    <w:abstractNumId w:val="18"/>
  </w:num>
  <w:num w:numId="16">
    <w:abstractNumId w:val="28"/>
  </w:num>
  <w:num w:numId="17">
    <w:abstractNumId w:val="11"/>
  </w:num>
  <w:num w:numId="18">
    <w:abstractNumId w:val="6"/>
  </w:num>
  <w:num w:numId="19">
    <w:abstractNumId w:val="10"/>
  </w:num>
  <w:num w:numId="20">
    <w:abstractNumId w:val="13"/>
  </w:num>
  <w:num w:numId="21">
    <w:abstractNumId w:val="30"/>
  </w:num>
  <w:num w:numId="22">
    <w:abstractNumId w:val="9"/>
  </w:num>
  <w:num w:numId="23">
    <w:abstractNumId w:val="0"/>
  </w:num>
  <w:num w:numId="24">
    <w:abstractNumId w:val="20"/>
  </w:num>
  <w:num w:numId="25">
    <w:abstractNumId w:val="8"/>
  </w:num>
  <w:num w:numId="26">
    <w:abstractNumId w:val="16"/>
  </w:num>
  <w:num w:numId="27">
    <w:abstractNumId w:val="2"/>
  </w:num>
  <w:num w:numId="28">
    <w:abstractNumId w:val="27"/>
  </w:num>
  <w:num w:numId="29">
    <w:abstractNumId w:val="26"/>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22"/>
    <w:rsid w:val="00012089"/>
    <w:rsid w:val="000308A1"/>
    <w:rsid w:val="00077227"/>
    <w:rsid w:val="000B3FA0"/>
    <w:rsid w:val="000F6046"/>
    <w:rsid w:val="000F6B5A"/>
    <w:rsid w:val="001257D4"/>
    <w:rsid w:val="00127ADB"/>
    <w:rsid w:val="0019022D"/>
    <w:rsid w:val="0019117B"/>
    <w:rsid w:val="00195DB5"/>
    <w:rsid w:val="001B188C"/>
    <w:rsid w:val="001E4229"/>
    <w:rsid w:val="002718A8"/>
    <w:rsid w:val="002D11CC"/>
    <w:rsid w:val="002E213C"/>
    <w:rsid w:val="002F0775"/>
    <w:rsid w:val="003062E4"/>
    <w:rsid w:val="00313C54"/>
    <w:rsid w:val="003517CD"/>
    <w:rsid w:val="003E5792"/>
    <w:rsid w:val="003E7FF5"/>
    <w:rsid w:val="00410122"/>
    <w:rsid w:val="0041689C"/>
    <w:rsid w:val="00430556"/>
    <w:rsid w:val="004320BD"/>
    <w:rsid w:val="00473C81"/>
    <w:rsid w:val="004E4CA9"/>
    <w:rsid w:val="005476AC"/>
    <w:rsid w:val="00587DE7"/>
    <w:rsid w:val="0059036F"/>
    <w:rsid w:val="0059294D"/>
    <w:rsid w:val="005D25CB"/>
    <w:rsid w:val="00614D23"/>
    <w:rsid w:val="00620205"/>
    <w:rsid w:val="006A1C9E"/>
    <w:rsid w:val="006C44E6"/>
    <w:rsid w:val="006E333D"/>
    <w:rsid w:val="00765B06"/>
    <w:rsid w:val="007E5A46"/>
    <w:rsid w:val="008302BC"/>
    <w:rsid w:val="0083335F"/>
    <w:rsid w:val="0085412E"/>
    <w:rsid w:val="00864BAB"/>
    <w:rsid w:val="008678A6"/>
    <w:rsid w:val="008A3226"/>
    <w:rsid w:val="008B3D01"/>
    <w:rsid w:val="008C527B"/>
    <w:rsid w:val="008D05E1"/>
    <w:rsid w:val="008F4E6A"/>
    <w:rsid w:val="00926676"/>
    <w:rsid w:val="00974AAD"/>
    <w:rsid w:val="0098450F"/>
    <w:rsid w:val="0098464F"/>
    <w:rsid w:val="009C4124"/>
    <w:rsid w:val="009E2464"/>
    <w:rsid w:val="00A60BDB"/>
    <w:rsid w:val="00AD2EEC"/>
    <w:rsid w:val="00AD4C53"/>
    <w:rsid w:val="00AF0FC3"/>
    <w:rsid w:val="00AF62AB"/>
    <w:rsid w:val="00B243DE"/>
    <w:rsid w:val="00B35BC6"/>
    <w:rsid w:val="00B42267"/>
    <w:rsid w:val="00B52C8B"/>
    <w:rsid w:val="00B56680"/>
    <w:rsid w:val="00B76A10"/>
    <w:rsid w:val="00B9007E"/>
    <w:rsid w:val="00CF5A49"/>
    <w:rsid w:val="00D043E0"/>
    <w:rsid w:val="00D12D5E"/>
    <w:rsid w:val="00D416FF"/>
    <w:rsid w:val="00D71E41"/>
    <w:rsid w:val="00DA385B"/>
    <w:rsid w:val="00DA7570"/>
    <w:rsid w:val="00DC5D02"/>
    <w:rsid w:val="00DF12F9"/>
    <w:rsid w:val="00E123D6"/>
    <w:rsid w:val="00EE7BC4"/>
    <w:rsid w:val="00F230AE"/>
    <w:rsid w:val="00F37ED2"/>
    <w:rsid w:val="00F9137C"/>
    <w:rsid w:val="00FD6F21"/>
    <w:rsid w:val="00FF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D25CB"/>
    <w:pPr>
      <w:spacing w:after="0" w:line="240" w:lineRule="auto"/>
    </w:pPr>
    <w:rPr>
      <w:rFonts w:ascii="Courier New" w:eastAsia="Times New Roman" w:hAnsi="Courier New" w:cs="Times New Roman"/>
      <w:color w:val="000000"/>
      <w:sz w:val="24"/>
      <w:szCs w:val="20"/>
    </w:rPr>
  </w:style>
  <w:style w:type="character" w:customStyle="1" w:styleId="BodyTextChar">
    <w:name w:val="Body Text Char"/>
    <w:basedOn w:val="DefaultParagraphFont"/>
    <w:link w:val="BodyText"/>
    <w:rsid w:val="005D25CB"/>
    <w:rPr>
      <w:rFonts w:ascii="Courier New" w:eastAsia="Times New Roman" w:hAnsi="Courier New" w:cs="Times New Roman"/>
      <w:color w:val="000000"/>
      <w:sz w:val="24"/>
      <w:szCs w:val="20"/>
    </w:rPr>
  </w:style>
  <w:style w:type="paragraph" w:styleId="Header">
    <w:name w:val="header"/>
    <w:basedOn w:val="Normal"/>
    <w:link w:val="HeaderChar"/>
    <w:uiPriority w:val="99"/>
    <w:unhideWhenUsed/>
    <w:rsid w:val="005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CB"/>
  </w:style>
  <w:style w:type="paragraph" w:styleId="Footer">
    <w:name w:val="footer"/>
    <w:basedOn w:val="Normal"/>
    <w:link w:val="FooterChar"/>
    <w:uiPriority w:val="99"/>
    <w:unhideWhenUsed/>
    <w:rsid w:val="005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CB"/>
  </w:style>
  <w:style w:type="paragraph" w:styleId="Title">
    <w:name w:val="Title"/>
    <w:basedOn w:val="Normal"/>
    <w:link w:val="TitleChar"/>
    <w:qFormat/>
    <w:rsid w:val="00D043E0"/>
    <w:pPr>
      <w:spacing w:after="0" w:line="240" w:lineRule="auto"/>
      <w:jc w:val="center"/>
    </w:pPr>
    <w:rPr>
      <w:rFonts w:ascii="Times New Roman" w:eastAsia="Times New Roman" w:hAnsi="Times New Roman" w:cs="Times New Roman"/>
      <w:sz w:val="32"/>
      <w:szCs w:val="24"/>
      <w:u w:val="single"/>
    </w:rPr>
  </w:style>
  <w:style w:type="character" w:customStyle="1" w:styleId="TitleChar">
    <w:name w:val="Title Char"/>
    <w:basedOn w:val="DefaultParagraphFont"/>
    <w:link w:val="Title"/>
    <w:rsid w:val="00D043E0"/>
    <w:rPr>
      <w:rFonts w:ascii="Times New Roman" w:eastAsia="Times New Roman" w:hAnsi="Times New Roman" w:cs="Times New Roman"/>
      <w:sz w:val="32"/>
      <w:szCs w:val="24"/>
      <w:u w:val="single"/>
    </w:rPr>
  </w:style>
  <w:style w:type="paragraph" w:styleId="NoSpacing">
    <w:name w:val="No Spacing"/>
    <w:uiPriority w:val="1"/>
    <w:qFormat/>
    <w:rsid w:val="008C527B"/>
    <w:pPr>
      <w:spacing w:after="0" w:line="240" w:lineRule="auto"/>
    </w:pPr>
  </w:style>
  <w:style w:type="character" w:styleId="Hyperlink">
    <w:name w:val="Hyperlink"/>
    <w:rsid w:val="0059036F"/>
    <w:rPr>
      <w:color w:val="0000FF"/>
      <w:u w:val="single"/>
    </w:rPr>
  </w:style>
  <w:style w:type="paragraph" w:styleId="ListParagraph">
    <w:name w:val="List Paragraph"/>
    <w:basedOn w:val="Normal"/>
    <w:uiPriority w:val="34"/>
    <w:qFormat/>
    <w:rsid w:val="0059036F"/>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6F"/>
    <w:rPr>
      <w:rFonts w:ascii="Tahoma" w:hAnsi="Tahoma" w:cs="Tahoma"/>
      <w:sz w:val="16"/>
      <w:szCs w:val="16"/>
    </w:rPr>
  </w:style>
  <w:style w:type="character" w:styleId="FollowedHyperlink">
    <w:name w:val="FollowedHyperlink"/>
    <w:basedOn w:val="DefaultParagraphFont"/>
    <w:uiPriority w:val="99"/>
    <w:semiHidden/>
    <w:unhideWhenUsed/>
    <w:rsid w:val="00587D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D25CB"/>
    <w:pPr>
      <w:spacing w:after="0" w:line="240" w:lineRule="auto"/>
    </w:pPr>
    <w:rPr>
      <w:rFonts w:ascii="Courier New" w:eastAsia="Times New Roman" w:hAnsi="Courier New" w:cs="Times New Roman"/>
      <w:color w:val="000000"/>
      <w:sz w:val="24"/>
      <w:szCs w:val="20"/>
    </w:rPr>
  </w:style>
  <w:style w:type="character" w:customStyle="1" w:styleId="BodyTextChar">
    <w:name w:val="Body Text Char"/>
    <w:basedOn w:val="DefaultParagraphFont"/>
    <w:link w:val="BodyText"/>
    <w:rsid w:val="005D25CB"/>
    <w:rPr>
      <w:rFonts w:ascii="Courier New" w:eastAsia="Times New Roman" w:hAnsi="Courier New" w:cs="Times New Roman"/>
      <w:color w:val="000000"/>
      <w:sz w:val="24"/>
      <w:szCs w:val="20"/>
    </w:rPr>
  </w:style>
  <w:style w:type="paragraph" w:styleId="Header">
    <w:name w:val="header"/>
    <w:basedOn w:val="Normal"/>
    <w:link w:val="HeaderChar"/>
    <w:uiPriority w:val="99"/>
    <w:unhideWhenUsed/>
    <w:rsid w:val="005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CB"/>
  </w:style>
  <w:style w:type="paragraph" w:styleId="Footer">
    <w:name w:val="footer"/>
    <w:basedOn w:val="Normal"/>
    <w:link w:val="FooterChar"/>
    <w:uiPriority w:val="99"/>
    <w:unhideWhenUsed/>
    <w:rsid w:val="005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CB"/>
  </w:style>
  <w:style w:type="paragraph" w:styleId="Title">
    <w:name w:val="Title"/>
    <w:basedOn w:val="Normal"/>
    <w:link w:val="TitleChar"/>
    <w:qFormat/>
    <w:rsid w:val="00D043E0"/>
    <w:pPr>
      <w:spacing w:after="0" w:line="240" w:lineRule="auto"/>
      <w:jc w:val="center"/>
    </w:pPr>
    <w:rPr>
      <w:rFonts w:ascii="Times New Roman" w:eastAsia="Times New Roman" w:hAnsi="Times New Roman" w:cs="Times New Roman"/>
      <w:sz w:val="32"/>
      <w:szCs w:val="24"/>
      <w:u w:val="single"/>
    </w:rPr>
  </w:style>
  <w:style w:type="character" w:customStyle="1" w:styleId="TitleChar">
    <w:name w:val="Title Char"/>
    <w:basedOn w:val="DefaultParagraphFont"/>
    <w:link w:val="Title"/>
    <w:rsid w:val="00D043E0"/>
    <w:rPr>
      <w:rFonts w:ascii="Times New Roman" w:eastAsia="Times New Roman" w:hAnsi="Times New Roman" w:cs="Times New Roman"/>
      <w:sz w:val="32"/>
      <w:szCs w:val="24"/>
      <w:u w:val="single"/>
    </w:rPr>
  </w:style>
  <w:style w:type="paragraph" w:styleId="NoSpacing">
    <w:name w:val="No Spacing"/>
    <w:uiPriority w:val="1"/>
    <w:qFormat/>
    <w:rsid w:val="008C527B"/>
    <w:pPr>
      <w:spacing w:after="0" w:line="240" w:lineRule="auto"/>
    </w:pPr>
  </w:style>
  <w:style w:type="character" w:styleId="Hyperlink">
    <w:name w:val="Hyperlink"/>
    <w:rsid w:val="0059036F"/>
    <w:rPr>
      <w:color w:val="0000FF"/>
      <w:u w:val="single"/>
    </w:rPr>
  </w:style>
  <w:style w:type="paragraph" w:styleId="ListParagraph">
    <w:name w:val="List Paragraph"/>
    <w:basedOn w:val="Normal"/>
    <w:uiPriority w:val="34"/>
    <w:qFormat/>
    <w:rsid w:val="0059036F"/>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6F"/>
    <w:rPr>
      <w:rFonts w:ascii="Tahoma" w:hAnsi="Tahoma" w:cs="Tahoma"/>
      <w:sz w:val="16"/>
      <w:szCs w:val="16"/>
    </w:rPr>
  </w:style>
  <w:style w:type="character" w:styleId="FollowedHyperlink">
    <w:name w:val="FollowedHyperlink"/>
    <w:basedOn w:val="DefaultParagraphFont"/>
    <w:uiPriority w:val="99"/>
    <w:semiHidden/>
    <w:unhideWhenUsed/>
    <w:rsid w:val="00587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Saavedra</dc:creator>
  <cp:lastModifiedBy>Nordquist Sgt Kenneth D</cp:lastModifiedBy>
  <cp:revision>5</cp:revision>
  <cp:lastPrinted>2012-02-19T06:43:00Z</cp:lastPrinted>
  <dcterms:created xsi:type="dcterms:W3CDTF">2016-04-03T17:18:00Z</dcterms:created>
  <dcterms:modified xsi:type="dcterms:W3CDTF">2016-04-03T17:31:00Z</dcterms:modified>
</cp:coreProperties>
</file>